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4EE5" w14:textId="77777777" w:rsidR="00DD2273" w:rsidRDefault="00DD2273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</w:p>
    <w:p w14:paraId="6A52E279" w14:textId="77777777" w:rsidR="00DD2273" w:rsidRDefault="00DD2273" w:rsidP="00B8358F">
      <w:pPr>
        <w:pStyle w:val="oddl-nadpis"/>
        <w:spacing w:line="276" w:lineRule="auto"/>
        <w:jc w:val="center"/>
        <w:rPr>
          <w:rFonts w:ascii="Times New Roman" w:hAnsi="Times New Roman"/>
          <w:sz w:val="28"/>
          <w:szCs w:val="28"/>
          <w:lang w:val="en-GB"/>
        </w:rPr>
      </w:pPr>
      <w:r w:rsidRPr="00D221FF">
        <w:rPr>
          <w:rFonts w:ascii="Times New Roman" w:hAnsi="Times New Roman"/>
          <w:sz w:val="28"/>
          <w:szCs w:val="28"/>
          <w:lang w:val="en-GB"/>
        </w:rPr>
        <w:t xml:space="preserve">Establishment of Regional Waste Management System for the City of Novi Sad and Municipalities of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Bačka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Palanka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Bački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Petrovac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Beočin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Žabalj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Srbobran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Temerin</w:t>
      </w:r>
      <w:proofErr w:type="spellEnd"/>
      <w:r w:rsidRPr="00D221FF">
        <w:rPr>
          <w:rFonts w:ascii="Times New Roman" w:hAnsi="Times New Roman"/>
          <w:sz w:val="28"/>
          <w:szCs w:val="28"/>
          <w:lang w:val="en-GB"/>
        </w:rPr>
        <w:t xml:space="preserve"> and </w:t>
      </w:r>
      <w:proofErr w:type="spellStart"/>
      <w:r w:rsidRPr="00D221FF">
        <w:rPr>
          <w:rFonts w:ascii="Times New Roman" w:hAnsi="Times New Roman"/>
          <w:sz w:val="28"/>
          <w:szCs w:val="28"/>
          <w:lang w:val="en-GB"/>
        </w:rPr>
        <w:t>Vrbas</w:t>
      </w:r>
      <w:proofErr w:type="spellEnd"/>
    </w:p>
    <w:p w14:paraId="00199B64" w14:textId="77777777" w:rsidR="00DD2273" w:rsidRPr="00D221FF" w:rsidRDefault="00DD2273" w:rsidP="00DD2273">
      <w:pPr>
        <w:pStyle w:val="oddl-nadpis"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08C72C47" w14:textId="77777777" w:rsidR="00DD2273" w:rsidRPr="00D221FF" w:rsidRDefault="00DD2273" w:rsidP="00B8358F">
      <w:pPr>
        <w:pStyle w:val="oddl-nadpis"/>
        <w:widowControl/>
        <w:spacing w:line="276" w:lineRule="auto"/>
        <w:jc w:val="center"/>
        <w:rPr>
          <w:rFonts w:ascii="Times New Roman" w:hAnsi="Times New Roman"/>
          <w:sz w:val="28"/>
          <w:szCs w:val="28"/>
          <w:lang w:val="en-GB"/>
        </w:rPr>
      </w:pPr>
      <w:r w:rsidRPr="00D221FF">
        <w:rPr>
          <w:rFonts w:ascii="Times New Roman" w:hAnsi="Times New Roman"/>
          <w:sz w:val="28"/>
          <w:szCs w:val="28"/>
          <w:lang w:val="en-GB"/>
        </w:rPr>
        <w:t>Lot 1: Construction of the Regional Waste Management Centre in the City of Novi Sad</w:t>
      </w:r>
    </w:p>
    <w:p w14:paraId="6DBEAEC4" w14:textId="77777777" w:rsidR="00DD2273" w:rsidRDefault="00DD2273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06770C27" w14:textId="77777777" w:rsidR="00DD2273" w:rsidRDefault="00DD2273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1DDE0AD9" w14:textId="77777777" w:rsidR="00DD2273" w:rsidRDefault="00DD2273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4E0C34F4" w14:textId="2019EE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14:paraId="455840EB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65BF4DC3" w14:textId="77777777"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23"/>
      <w:bookmarkStart w:id="2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1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3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2"/>
      <w:bookmarkEnd w:id="3"/>
    </w:p>
    <w:p w14:paraId="77171C3C" w14:textId="77777777"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14:paraId="2A279867" w14:textId="3C1BB903" w:rsidR="0068234B" w:rsidRPr="00C43114" w:rsidRDefault="0068234B" w:rsidP="00A51C80">
      <w:pPr>
        <w:jc w:val="center"/>
        <w:rPr>
          <w:b/>
          <w:sz w:val="28"/>
          <w:szCs w:val="28"/>
        </w:rPr>
      </w:pPr>
      <w:r w:rsidRPr="00C43114">
        <w:rPr>
          <w:sz w:val="22"/>
          <w:szCs w:val="22"/>
        </w:rPr>
        <w:br w:type="page"/>
      </w:r>
      <w:r w:rsidRPr="00C43114">
        <w:rPr>
          <w:b/>
          <w:sz w:val="28"/>
          <w:szCs w:val="28"/>
        </w:rPr>
        <w:lastRenderedPageBreak/>
        <w:t>TENDER GUARANTEE FORM</w:t>
      </w:r>
    </w:p>
    <w:p w14:paraId="2C1D9F9E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055D5F98" w14:textId="77777777" w:rsidR="0068234B" w:rsidRPr="00C43114" w:rsidRDefault="0068234B" w:rsidP="00F25895">
      <w:pPr>
        <w:spacing w:before="240" w:after="240"/>
        <w:jc w:val="both"/>
        <w:rPr>
          <w:sz w:val="22"/>
          <w:szCs w:val="22"/>
        </w:rPr>
      </w:pPr>
      <w:r w:rsidRPr="00DD2273">
        <w:rPr>
          <w:sz w:val="22"/>
          <w:szCs w:val="22"/>
        </w:rPr>
        <w:t>(To be completed on paper bearing the letterhead of the financial institution)</w:t>
      </w:r>
    </w:p>
    <w:p w14:paraId="44178AA0" w14:textId="77777777" w:rsidR="0068234B" w:rsidRPr="00C43114" w:rsidRDefault="0068234B" w:rsidP="00F25895">
      <w:pPr>
        <w:spacing w:after="120"/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67BE4297" w14:textId="77777777" w:rsidR="00DD2273" w:rsidRPr="00DD2273" w:rsidRDefault="00DD2273" w:rsidP="005D35B6">
      <w:pPr>
        <w:spacing w:after="120"/>
        <w:ind w:left="284"/>
        <w:jc w:val="both"/>
        <w:rPr>
          <w:sz w:val="22"/>
          <w:szCs w:val="22"/>
        </w:rPr>
      </w:pPr>
      <w:r w:rsidRPr="00DD2273">
        <w:rPr>
          <w:sz w:val="22"/>
          <w:szCs w:val="22"/>
        </w:rPr>
        <w:t>Ministry of Finance, Government of the Republic of Serbia</w:t>
      </w:r>
    </w:p>
    <w:p w14:paraId="090D9451" w14:textId="77777777" w:rsidR="00DD2273" w:rsidRPr="00DD2273" w:rsidRDefault="00DD2273" w:rsidP="005D35B6">
      <w:pPr>
        <w:spacing w:after="120"/>
        <w:ind w:left="284"/>
        <w:jc w:val="both"/>
        <w:rPr>
          <w:sz w:val="22"/>
          <w:szCs w:val="22"/>
        </w:rPr>
      </w:pPr>
      <w:r w:rsidRPr="00DD2273">
        <w:rPr>
          <w:sz w:val="22"/>
          <w:szCs w:val="22"/>
        </w:rPr>
        <w:t>Department for Contracting and Financing of EU Funded Programmes (CFCU)</w:t>
      </w:r>
    </w:p>
    <w:p w14:paraId="68FFABC2" w14:textId="77777777" w:rsidR="00DD2273" w:rsidRPr="00DD2273" w:rsidRDefault="00DD2273" w:rsidP="005D35B6">
      <w:pPr>
        <w:spacing w:after="120"/>
        <w:ind w:left="284"/>
        <w:jc w:val="both"/>
        <w:rPr>
          <w:sz w:val="22"/>
          <w:szCs w:val="22"/>
        </w:rPr>
      </w:pPr>
      <w:r w:rsidRPr="00DD2273">
        <w:rPr>
          <w:sz w:val="22"/>
          <w:szCs w:val="22"/>
        </w:rPr>
        <w:t xml:space="preserve">53 </w:t>
      </w:r>
      <w:proofErr w:type="spellStart"/>
      <w:r w:rsidRPr="00DD2273">
        <w:rPr>
          <w:sz w:val="22"/>
          <w:szCs w:val="22"/>
        </w:rPr>
        <w:t>Balkanska</w:t>
      </w:r>
      <w:proofErr w:type="spellEnd"/>
      <w:r w:rsidRPr="00DD2273">
        <w:rPr>
          <w:sz w:val="22"/>
          <w:szCs w:val="22"/>
        </w:rPr>
        <w:t xml:space="preserve"> St.</w:t>
      </w:r>
    </w:p>
    <w:p w14:paraId="336D247E" w14:textId="77777777" w:rsidR="00DD2273" w:rsidRPr="00DD2273" w:rsidRDefault="00DD2273" w:rsidP="005D35B6">
      <w:pPr>
        <w:spacing w:after="120"/>
        <w:ind w:left="284"/>
        <w:jc w:val="both"/>
        <w:rPr>
          <w:sz w:val="22"/>
          <w:szCs w:val="22"/>
        </w:rPr>
      </w:pPr>
      <w:r w:rsidRPr="00DD2273">
        <w:rPr>
          <w:sz w:val="22"/>
          <w:szCs w:val="22"/>
        </w:rPr>
        <w:t>Belgrade, 11000</w:t>
      </w:r>
    </w:p>
    <w:p w14:paraId="562DFB5C" w14:textId="7D1DC8A4" w:rsidR="0068234B" w:rsidRPr="00C43114" w:rsidRDefault="00DD2273" w:rsidP="005D35B6">
      <w:pPr>
        <w:spacing w:after="120"/>
        <w:ind w:left="284"/>
        <w:jc w:val="both"/>
        <w:rPr>
          <w:sz w:val="22"/>
          <w:szCs w:val="22"/>
        </w:rPr>
      </w:pPr>
      <w:r w:rsidRPr="00DD2273">
        <w:rPr>
          <w:sz w:val="22"/>
          <w:szCs w:val="22"/>
        </w:rPr>
        <w:t>Republic of Serbia</w:t>
      </w:r>
    </w:p>
    <w:p w14:paraId="3D10CD17" w14:textId="77777777" w:rsidR="0068234B" w:rsidRPr="00C43114" w:rsidRDefault="0068234B" w:rsidP="00F25895">
      <w:pPr>
        <w:spacing w:after="240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14:paraId="6EC36518" w14:textId="77777777" w:rsidR="00DD2273" w:rsidRPr="00D221FF" w:rsidRDefault="0068234B" w:rsidP="00BC62E9">
      <w:pPr>
        <w:spacing w:after="120"/>
        <w:jc w:val="both"/>
        <w:outlineLvl w:val="0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DD2273" w:rsidRPr="005D35B6">
        <w:rPr>
          <w:b/>
          <w:bCs/>
          <w:sz w:val="22"/>
          <w:szCs w:val="22"/>
        </w:rPr>
        <w:t xml:space="preserve">Establishment of Regional Waste Management System for the City of Novi Sad and Municipalities of </w:t>
      </w:r>
      <w:proofErr w:type="spellStart"/>
      <w:r w:rsidR="00DD2273" w:rsidRPr="005D35B6">
        <w:rPr>
          <w:b/>
          <w:bCs/>
          <w:sz w:val="22"/>
          <w:szCs w:val="22"/>
        </w:rPr>
        <w:t>Bačka</w:t>
      </w:r>
      <w:proofErr w:type="spellEnd"/>
      <w:r w:rsidR="00DD2273" w:rsidRPr="005D35B6">
        <w:rPr>
          <w:b/>
          <w:bCs/>
          <w:sz w:val="22"/>
          <w:szCs w:val="22"/>
        </w:rPr>
        <w:t xml:space="preserve"> </w:t>
      </w:r>
      <w:proofErr w:type="spellStart"/>
      <w:r w:rsidR="00DD2273" w:rsidRPr="005D35B6">
        <w:rPr>
          <w:b/>
          <w:bCs/>
          <w:sz w:val="22"/>
          <w:szCs w:val="22"/>
        </w:rPr>
        <w:t>Palanka</w:t>
      </w:r>
      <w:proofErr w:type="spellEnd"/>
      <w:r w:rsidR="00DD2273" w:rsidRPr="005D35B6">
        <w:rPr>
          <w:b/>
          <w:bCs/>
          <w:sz w:val="22"/>
          <w:szCs w:val="22"/>
        </w:rPr>
        <w:t xml:space="preserve">, </w:t>
      </w:r>
      <w:proofErr w:type="spellStart"/>
      <w:r w:rsidR="00DD2273" w:rsidRPr="005D35B6">
        <w:rPr>
          <w:b/>
          <w:bCs/>
          <w:sz w:val="22"/>
          <w:szCs w:val="22"/>
        </w:rPr>
        <w:t>Bački</w:t>
      </w:r>
      <w:proofErr w:type="spellEnd"/>
      <w:r w:rsidR="00DD2273" w:rsidRPr="005D35B6">
        <w:rPr>
          <w:b/>
          <w:bCs/>
          <w:sz w:val="22"/>
          <w:szCs w:val="22"/>
        </w:rPr>
        <w:t xml:space="preserve"> </w:t>
      </w:r>
      <w:proofErr w:type="spellStart"/>
      <w:r w:rsidR="00DD2273" w:rsidRPr="005D35B6">
        <w:rPr>
          <w:b/>
          <w:bCs/>
          <w:sz w:val="22"/>
          <w:szCs w:val="22"/>
        </w:rPr>
        <w:t>Petrovac</w:t>
      </w:r>
      <w:proofErr w:type="spellEnd"/>
      <w:r w:rsidR="00DD2273" w:rsidRPr="005D35B6">
        <w:rPr>
          <w:b/>
          <w:bCs/>
          <w:sz w:val="22"/>
          <w:szCs w:val="22"/>
        </w:rPr>
        <w:t xml:space="preserve">, </w:t>
      </w:r>
      <w:proofErr w:type="spellStart"/>
      <w:r w:rsidR="00DD2273" w:rsidRPr="005D35B6">
        <w:rPr>
          <w:b/>
          <w:bCs/>
          <w:sz w:val="22"/>
          <w:szCs w:val="22"/>
        </w:rPr>
        <w:t>Beočin</w:t>
      </w:r>
      <w:proofErr w:type="spellEnd"/>
      <w:r w:rsidR="00DD2273" w:rsidRPr="005D35B6">
        <w:rPr>
          <w:b/>
          <w:bCs/>
          <w:sz w:val="22"/>
          <w:szCs w:val="22"/>
        </w:rPr>
        <w:t xml:space="preserve">, </w:t>
      </w:r>
      <w:proofErr w:type="spellStart"/>
      <w:r w:rsidR="00DD2273" w:rsidRPr="005D35B6">
        <w:rPr>
          <w:b/>
          <w:bCs/>
          <w:sz w:val="22"/>
          <w:szCs w:val="22"/>
        </w:rPr>
        <w:t>Žabalj</w:t>
      </w:r>
      <w:proofErr w:type="spellEnd"/>
      <w:r w:rsidR="00DD2273" w:rsidRPr="005D35B6">
        <w:rPr>
          <w:b/>
          <w:bCs/>
          <w:sz w:val="22"/>
          <w:szCs w:val="22"/>
        </w:rPr>
        <w:t xml:space="preserve">, </w:t>
      </w:r>
      <w:proofErr w:type="spellStart"/>
      <w:r w:rsidR="00DD2273" w:rsidRPr="005D35B6">
        <w:rPr>
          <w:b/>
          <w:bCs/>
          <w:sz w:val="22"/>
          <w:szCs w:val="22"/>
        </w:rPr>
        <w:t>Srbobran</w:t>
      </w:r>
      <w:proofErr w:type="spellEnd"/>
      <w:r w:rsidR="00DD2273" w:rsidRPr="005D35B6">
        <w:rPr>
          <w:b/>
          <w:bCs/>
          <w:sz w:val="22"/>
          <w:szCs w:val="22"/>
        </w:rPr>
        <w:t xml:space="preserve">, </w:t>
      </w:r>
      <w:proofErr w:type="spellStart"/>
      <w:r w:rsidR="00DD2273" w:rsidRPr="005D35B6">
        <w:rPr>
          <w:b/>
          <w:bCs/>
          <w:sz w:val="22"/>
          <w:szCs w:val="22"/>
        </w:rPr>
        <w:t>Temerin</w:t>
      </w:r>
      <w:proofErr w:type="spellEnd"/>
      <w:r w:rsidR="00DD2273" w:rsidRPr="005D35B6">
        <w:rPr>
          <w:b/>
          <w:bCs/>
          <w:sz w:val="22"/>
          <w:szCs w:val="22"/>
        </w:rPr>
        <w:t xml:space="preserve"> </w:t>
      </w:r>
      <w:proofErr w:type="spellStart"/>
      <w:r w:rsidR="00DD2273" w:rsidRPr="005D35B6">
        <w:rPr>
          <w:b/>
          <w:bCs/>
          <w:sz w:val="22"/>
          <w:szCs w:val="22"/>
        </w:rPr>
        <w:t>i</w:t>
      </w:r>
      <w:proofErr w:type="spellEnd"/>
      <w:r w:rsidR="00DD2273" w:rsidRPr="005D35B6">
        <w:rPr>
          <w:b/>
          <w:bCs/>
          <w:sz w:val="22"/>
          <w:szCs w:val="22"/>
        </w:rPr>
        <w:t xml:space="preserve"> </w:t>
      </w:r>
      <w:proofErr w:type="spellStart"/>
      <w:r w:rsidR="00DD2273" w:rsidRPr="005D35B6">
        <w:rPr>
          <w:b/>
          <w:bCs/>
          <w:sz w:val="22"/>
          <w:szCs w:val="22"/>
        </w:rPr>
        <w:t>Vrbas</w:t>
      </w:r>
      <w:proofErr w:type="spellEnd"/>
    </w:p>
    <w:p w14:paraId="590A4E57" w14:textId="77777777" w:rsidR="00DD2273" w:rsidRPr="00BC62E9" w:rsidRDefault="00DD2273" w:rsidP="00DD2273">
      <w:pPr>
        <w:widowControl w:val="0"/>
        <w:spacing w:after="100"/>
        <w:outlineLvl w:val="0"/>
        <w:rPr>
          <w:b/>
          <w:snapToGrid/>
          <w:sz w:val="22"/>
          <w:szCs w:val="22"/>
        </w:rPr>
      </w:pPr>
      <w:r w:rsidRPr="00BC62E9">
        <w:rPr>
          <w:b/>
          <w:sz w:val="22"/>
          <w:szCs w:val="22"/>
        </w:rPr>
        <w:t>Lot 1: Construction of the Regional Waste Management Centre in the City of Novi Sad</w:t>
      </w:r>
    </w:p>
    <w:p w14:paraId="29479006" w14:textId="7B6C4CEC" w:rsidR="0068234B" w:rsidRPr="00C43114" w:rsidRDefault="0068234B">
      <w:pPr>
        <w:jc w:val="both"/>
        <w:rPr>
          <w:sz w:val="22"/>
          <w:szCs w:val="22"/>
        </w:rPr>
      </w:pPr>
    </w:p>
    <w:p w14:paraId="38DE1783" w14:textId="12D6E240" w:rsidR="00DD2273" w:rsidRDefault="0068234B" w:rsidP="00DD2273">
      <w:pPr>
        <w:spacing w:after="240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</w:p>
    <w:p w14:paraId="2951C87D" w14:textId="081AE027" w:rsidR="0068234B" w:rsidRPr="00C43114" w:rsidRDefault="0068234B" w:rsidP="007C261C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 w:rsidRPr="00DD2273">
        <w:rPr>
          <w:sz w:val="22"/>
          <w:szCs w:val="22"/>
        </w:rPr>
        <w:t>&lt;</w:t>
      </w:r>
      <w:r w:rsidR="0084754F" w:rsidRPr="00DD2273">
        <w:rPr>
          <w:sz w:val="22"/>
          <w:szCs w:val="22"/>
        </w:rPr>
        <w:t>t</w:t>
      </w:r>
      <w:r w:rsidRPr="00DD2273">
        <w:rPr>
          <w:sz w:val="22"/>
          <w:szCs w:val="22"/>
        </w:rPr>
        <w:t>enderer</w:t>
      </w:r>
      <w:r w:rsidR="00E725FE" w:rsidRPr="00DD2273">
        <w:rPr>
          <w:sz w:val="22"/>
          <w:szCs w:val="22"/>
        </w:rPr>
        <w:t>’</w:t>
      </w:r>
      <w:r w:rsidRPr="00DD2273">
        <w:rPr>
          <w:sz w:val="22"/>
          <w:szCs w:val="22"/>
        </w:rPr>
        <w:t>s name and address</w:t>
      </w:r>
      <w:r w:rsidR="00DD1F83" w:rsidRPr="00DD2273">
        <w:rPr>
          <w:sz w:val="22"/>
          <w:szCs w:val="22"/>
        </w:rPr>
        <w:t>&gt;</w:t>
      </w:r>
      <w:r w:rsidRPr="00DD2273">
        <w:rPr>
          <w:sz w:val="22"/>
          <w:szCs w:val="22"/>
        </w:rPr>
        <w:t xml:space="preserve">, payment to the </w:t>
      </w:r>
      <w:r w:rsidR="0084754F" w:rsidRPr="00DD2273">
        <w:rPr>
          <w:sz w:val="22"/>
          <w:szCs w:val="22"/>
        </w:rPr>
        <w:t>c</w:t>
      </w:r>
      <w:r w:rsidRPr="00DD2273">
        <w:rPr>
          <w:sz w:val="22"/>
          <w:szCs w:val="22"/>
        </w:rPr>
        <w:t xml:space="preserve">ontracting </w:t>
      </w:r>
      <w:r w:rsidR="0084754F" w:rsidRPr="00DD2273">
        <w:rPr>
          <w:sz w:val="22"/>
          <w:szCs w:val="22"/>
        </w:rPr>
        <w:t>a</w:t>
      </w:r>
      <w:r w:rsidRPr="00DD2273">
        <w:rPr>
          <w:sz w:val="22"/>
          <w:szCs w:val="22"/>
        </w:rPr>
        <w:t xml:space="preserve">uthority of </w:t>
      </w:r>
      <w:r w:rsidR="007C261C" w:rsidRPr="007C261C">
        <w:rPr>
          <w:b/>
          <w:sz w:val="22"/>
          <w:szCs w:val="22"/>
        </w:rPr>
        <w:t>EUR 750,000.</w:t>
      </w:r>
      <w:r w:rsidR="00DD2273" w:rsidRPr="007C261C">
        <w:rPr>
          <w:b/>
          <w:sz w:val="22"/>
          <w:szCs w:val="22"/>
        </w:rPr>
        <w:t>00</w:t>
      </w:r>
      <w:r w:rsidRPr="00C43114">
        <w:rPr>
          <w:sz w:val="22"/>
          <w:szCs w:val="22"/>
        </w:rPr>
        <w:t xml:space="preserve"> this amount representing the guarantee referred to in </w:t>
      </w:r>
      <w:r w:rsidR="00B36ED7">
        <w:rPr>
          <w:sz w:val="22"/>
          <w:szCs w:val="22"/>
        </w:rPr>
        <w:t>Section</w:t>
      </w:r>
      <w:r w:rsidR="00B36ED7" w:rsidRPr="00B36ED7">
        <w:rPr>
          <w:sz w:val="22"/>
          <w:szCs w:val="22"/>
        </w:rPr>
        <w:t xml:space="preserve"> 15 of the Instructions to tenderers</w:t>
      </w:r>
      <w:r w:rsidR="00B36ED7">
        <w:rPr>
          <w:sz w:val="22"/>
          <w:szCs w:val="22"/>
        </w:rPr>
        <w:t>.</w:t>
      </w:r>
      <w:r w:rsidR="00B36ED7" w:rsidRPr="007C261C" w:rsidDel="00B36ED7">
        <w:rPr>
          <w:sz w:val="22"/>
          <w:szCs w:val="22"/>
        </w:rPr>
        <w:t xml:space="preserve"> </w:t>
      </w:r>
    </w:p>
    <w:p w14:paraId="2E7A7E36" w14:textId="77777777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780FAA96" w14:textId="77777777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623DD524" w14:textId="469A217D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4D0280" w:rsidRPr="00DD2273">
        <w:rPr>
          <w:sz w:val="22"/>
        </w:rPr>
        <w:t>the</w:t>
      </w:r>
      <w:r w:rsidRPr="00DD2273">
        <w:rPr>
          <w:sz w:val="22"/>
        </w:rPr>
        <w:t xml:space="preserve"> country in which the financial institution issuing the guarantee is established.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Pr="00DD2273">
        <w:rPr>
          <w:sz w:val="22"/>
          <w:szCs w:val="22"/>
        </w:rPr>
        <w:t xml:space="preserve">the country </w:t>
      </w:r>
      <w:r w:rsidR="005F48C3" w:rsidRPr="00DD2273">
        <w:rPr>
          <w:sz w:val="22"/>
          <w:szCs w:val="22"/>
        </w:rPr>
        <w:t>in which the financial institution issuing the guarantee is established</w:t>
      </w:r>
      <w:r w:rsidR="00DD2273">
        <w:rPr>
          <w:sz w:val="22"/>
          <w:szCs w:val="22"/>
        </w:rPr>
        <w:t>.</w:t>
      </w:r>
    </w:p>
    <w:p w14:paraId="7926B4D2" w14:textId="6F8A131D" w:rsidR="0068234B" w:rsidRPr="00C43114" w:rsidRDefault="0068234B" w:rsidP="00F25895">
      <w:pPr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>The guarantee will enter into force and take effect from the submission deadline of the tender.</w:t>
      </w:r>
    </w:p>
    <w:p w14:paraId="5CF3C7F6" w14:textId="77777777" w:rsidR="0068234B" w:rsidRPr="00C43114" w:rsidRDefault="0068234B" w:rsidP="00F25895">
      <w:pPr>
        <w:ind w:right="239"/>
        <w:jc w:val="both"/>
        <w:rPr>
          <w:sz w:val="22"/>
          <w:szCs w:val="22"/>
        </w:rPr>
      </w:pPr>
    </w:p>
    <w:p w14:paraId="4BBD3BA2" w14:textId="77777777" w:rsidR="0068234B" w:rsidRPr="00C43114" w:rsidRDefault="0068234B">
      <w:pPr>
        <w:jc w:val="both"/>
        <w:rPr>
          <w:sz w:val="22"/>
          <w:szCs w:val="22"/>
        </w:rPr>
      </w:pPr>
    </w:p>
    <w:p w14:paraId="35A58C65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</w:t>
      </w:r>
      <w:proofErr w:type="gramStart"/>
      <w:r w:rsidRPr="00C43114">
        <w:rPr>
          <w:sz w:val="22"/>
          <w:szCs w:val="22"/>
        </w:rPr>
        <w:t>…..</w:t>
      </w:r>
      <w:proofErr w:type="gramEnd"/>
      <w:r w:rsidRPr="00C43114">
        <w:rPr>
          <w:sz w:val="22"/>
          <w:szCs w:val="22"/>
        </w:rPr>
        <w:t>, ../../..</w:t>
      </w:r>
    </w:p>
    <w:p w14:paraId="2B07D0AA" w14:textId="77777777" w:rsidR="0068234B" w:rsidRPr="00C43114" w:rsidRDefault="0068234B">
      <w:pPr>
        <w:jc w:val="both"/>
        <w:rPr>
          <w:sz w:val="22"/>
          <w:szCs w:val="22"/>
        </w:rPr>
      </w:pPr>
    </w:p>
    <w:p w14:paraId="65DCD8A8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46E277FC" w14:textId="77777777" w:rsidR="0068234B" w:rsidRPr="00C43114" w:rsidRDefault="0068234B" w:rsidP="00F25895">
      <w:pPr>
        <w:keepNext/>
        <w:jc w:val="both"/>
        <w:rPr>
          <w:sz w:val="22"/>
          <w:szCs w:val="22"/>
        </w:rPr>
      </w:pPr>
      <w:r w:rsidRPr="00C43114">
        <w:rPr>
          <w:sz w:val="22"/>
          <w:szCs w:val="22"/>
        </w:rPr>
        <w:lastRenderedPageBreak/>
        <w:t>Signature</w:t>
      </w:r>
      <w:r w:rsidR="008B12CF">
        <w:rPr>
          <w:rStyle w:val="FootnoteReference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……………..</w:t>
      </w:r>
    </w:p>
    <w:p w14:paraId="7921D9BB" w14:textId="0C523C29" w:rsidR="0068234B" w:rsidRPr="00C43114" w:rsidRDefault="0068234B" w:rsidP="00F25895">
      <w:pPr>
        <w:pStyle w:val="oddl-nadpis"/>
        <w:widowControl/>
        <w:tabs>
          <w:tab w:val="clear" w:pos="567"/>
          <w:tab w:val="center" w:pos="4655"/>
        </w:tabs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14:paraId="22AADD50" w14:textId="77777777" w:rsidR="0068234B" w:rsidRPr="00C43114" w:rsidRDefault="0068234B" w:rsidP="00F25895">
      <w:pPr>
        <w:pStyle w:val="oddl-nadpis"/>
        <w:widowControl/>
        <w:spacing w:before="0"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F25895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298" w:bottom="1276" w:left="1298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E54C7" w14:textId="77777777" w:rsidR="00425AE5" w:rsidRPr="00E725FE" w:rsidRDefault="00425AE5">
      <w:r w:rsidRPr="00E725FE">
        <w:separator/>
      </w:r>
    </w:p>
  </w:endnote>
  <w:endnote w:type="continuationSeparator" w:id="0">
    <w:p w14:paraId="55EB0E54" w14:textId="77777777" w:rsidR="00425AE5" w:rsidRPr="00E725FE" w:rsidRDefault="00425AE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334EC" w14:textId="77777777"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DB203AB" w14:textId="77777777"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C350B" w14:textId="77777777" w:rsidR="00DD2273" w:rsidRDefault="00DD2273" w:rsidP="00DD227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  <w:r w:rsidRPr="0096752C">
      <w:rPr>
        <w:b/>
        <w:sz w:val="18"/>
      </w:rPr>
      <w:t>Lot 1: Construction of the Regional Waste Management Centre in the City of Novi Sad</w:t>
    </w:r>
  </w:p>
  <w:p w14:paraId="5243ACCA" w14:textId="0FAE9755"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6C59D7">
      <w:rPr>
        <w:b/>
        <w:sz w:val="18"/>
      </w:rPr>
      <w:t>5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3C15E5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3C15E5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09489814" w14:textId="5DF64ED9" w:rsidR="00791333" w:rsidRDefault="00A51C80" w:rsidP="00A51C8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25895">
      <w:rPr>
        <w:noProof/>
        <w:sz w:val="18"/>
        <w:szCs w:val="18"/>
      </w:rPr>
      <w:t>d4d_tenderguarantee_en.docx</w:t>
    </w:r>
    <w:r>
      <w:rPr>
        <w:sz w:val="18"/>
        <w:szCs w:val="18"/>
      </w:rPr>
      <w:fldChar w:fldCharType="end"/>
    </w:r>
  </w:p>
  <w:p w14:paraId="4D3BD56A" w14:textId="0DD3CE89" w:rsidR="00A76F89" w:rsidRPr="00791333" w:rsidRDefault="00A76F89" w:rsidP="00A51C80">
    <w:pPr>
      <w:rPr>
        <w:sz w:val="18"/>
        <w:szCs w:val="18"/>
      </w:rPr>
    </w:pPr>
    <w:r w:rsidRPr="00A76F89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BA1BD" w14:textId="77777777"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60888AB4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1AC44" w14:textId="77777777" w:rsidR="00425AE5" w:rsidRPr="00E725FE" w:rsidRDefault="00425AE5">
      <w:r w:rsidRPr="00E725FE">
        <w:separator/>
      </w:r>
    </w:p>
  </w:footnote>
  <w:footnote w:type="continuationSeparator" w:id="0">
    <w:p w14:paraId="73975542" w14:textId="77777777" w:rsidR="00425AE5" w:rsidRPr="00E725FE" w:rsidRDefault="00425AE5">
      <w:r w:rsidRPr="00E725FE">
        <w:continuationSeparator/>
      </w:r>
    </w:p>
  </w:footnote>
  <w:footnote w:id="1">
    <w:p w14:paraId="663FC7E9" w14:textId="1F0C37F3" w:rsidR="00791333" w:rsidRPr="0084754F" w:rsidRDefault="00791333" w:rsidP="00F25895">
      <w:pPr>
        <w:ind w:left="142" w:hanging="142"/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A51C80">
        <w:rPr>
          <w:szCs w:val="16"/>
        </w:rPr>
        <w:tab/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6DBD299B" w14:textId="375B94F0" w:rsidR="008B12CF" w:rsidRPr="008B12CF" w:rsidRDefault="008B12CF" w:rsidP="00F25895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51C80">
        <w:tab/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</w:t>
      </w:r>
      <w:proofErr w:type="spellStart"/>
      <w:r w:rsidR="00890856" w:rsidRPr="00CC58D7">
        <w:rPr>
          <w:iCs/>
        </w:rPr>
        <w:t>eIDAS</w:t>
      </w:r>
      <w:proofErr w:type="spellEnd"/>
      <w:r w:rsidR="00890856" w:rsidRPr="00CC58D7">
        <w:rPr>
          <w:iCs/>
        </w:rPr>
        <w:t xml:space="preserve">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92239" w14:textId="77777777"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GB" w:vendorID="64" w:dllVersion="131078" w:nlCheck="1" w:checkStyle="0"/>
  <w:activeWritingStyle w:appName="MSWord" w:lang="en-I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D3322"/>
    <w:rsid w:val="001E440F"/>
    <w:rsid w:val="001E6B88"/>
    <w:rsid w:val="001F0386"/>
    <w:rsid w:val="001F62C4"/>
    <w:rsid w:val="00203C42"/>
    <w:rsid w:val="00203E27"/>
    <w:rsid w:val="00205125"/>
    <w:rsid w:val="00205F35"/>
    <w:rsid w:val="00212360"/>
    <w:rsid w:val="002132C5"/>
    <w:rsid w:val="0021368F"/>
    <w:rsid w:val="002172D1"/>
    <w:rsid w:val="002223C1"/>
    <w:rsid w:val="00227DD4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75654"/>
    <w:rsid w:val="00382FE0"/>
    <w:rsid w:val="00392541"/>
    <w:rsid w:val="003A2536"/>
    <w:rsid w:val="003A358D"/>
    <w:rsid w:val="003A3BC6"/>
    <w:rsid w:val="003A6490"/>
    <w:rsid w:val="003A7EB3"/>
    <w:rsid w:val="003C07AB"/>
    <w:rsid w:val="003C15E5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25AE5"/>
    <w:rsid w:val="004305FD"/>
    <w:rsid w:val="004350B6"/>
    <w:rsid w:val="00441407"/>
    <w:rsid w:val="00443948"/>
    <w:rsid w:val="00445C3D"/>
    <w:rsid w:val="0044751C"/>
    <w:rsid w:val="004514CD"/>
    <w:rsid w:val="0045409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008F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34A06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35B6"/>
    <w:rsid w:val="005D499E"/>
    <w:rsid w:val="005E22D4"/>
    <w:rsid w:val="005F17DD"/>
    <w:rsid w:val="005F48C3"/>
    <w:rsid w:val="005F66E3"/>
    <w:rsid w:val="00612248"/>
    <w:rsid w:val="006169B3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C59D7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70EEB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C261C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475D9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A8F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3351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4463B"/>
    <w:rsid w:val="00A51C80"/>
    <w:rsid w:val="00A5429D"/>
    <w:rsid w:val="00A556DC"/>
    <w:rsid w:val="00A76F89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36ED7"/>
    <w:rsid w:val="00B460D5"/>
    <w:rsid w:val="00B52E82"/>
    <w:rsid w:val="00B67B6F"/>
    <w:rsid w:val="00B72739"/>
    <w:rsid w:val="00B7615B"/>
    <w:rsid w:val="00B8358F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62E9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58D6"/>
    <w:rsid w:val="00CA780F"/>
    <w:rsid w:val="00CA7D4F"/>
    <w:rsid w:val="00CB0002"/>
    <w:rsid w:val="00CB41AD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37423"/>
    <w:rsid w:val="00D45870"/>
    <w:rsid w:val="00D57736"/>
    <w:rsid w:val="00D60A49"/>
    <w:rsid w:val="00D60BA1"/>
    <w:rsid w:val="00D61604"/>
    <w:rsid w:val="00D63EA6"/>
    <w:rsid w:val="00D74F10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D227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89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ACCAC11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  <w:style w:type="paragraph" w:styleId="Revision">
    <w:name w:val="Revision"/>
    <w:hidden/>
    <w:uiPriority w:val="99"/>
    <w:semiHidden/>
    <w:rsid w:val="00B36ED7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D3B9-1490-4CF8-939E-B8D94F53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4</cp:revision>
  <cp:lastPrinted>2011-09-27T09:12:00Z</cp:lastPrinted>
  <dcterms:created xsi:type="dcterms:W3CDTF">2025-04-16T11:05:00Z</dcterms:created>
  <dcterms:modified xsi:type="dcterms:W3CDTF">2025-05-19T09:10:00Z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2023-10-05T14:43:49Z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90b8cdbd-9b8a-4fcf-8b64-450a84c42da2</vt:lpwstr>
  </property>
  <property fmtid="{D5CDD505-2E9C-101B-9397-08002B2CF9AE}" pid="10" name="MSIP_Label_6bd9ddd1-4d20-43f6-abfa-fc3c07406f94_ContentBits">
    <vt:lpwstr>0</vt:lpwstr>
  </property>
</Properties>
</file>