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="00864061" w:rsidRPr="00864061">
        <w:rPr>
          <w:rFonts w:ascii="Times New Roman" w:hAnsi="Times New Roman"/>
          <w:b w:val="0"/>
          <w:sz w:val="28"/>
          <w:szCs w:val="28"/>
          <w:lang w:val="en-GB"/>
        </w:rPr>
        <w:t>48</w:t>
      </w:r>
      <w:r w:rsidR="00864061" w:rsidRPr="00864061">
        <w:rPr>
          <w:rFonts w:ascii="Times New Roman" w:hAnsi="Times New Roman"/>
          <w:b w:val="0"/>
          <w:sz w:val="28"/>
          <w:szCs w:val="28"/>
          <w:lang w:val="sr-Latn-RS"/>
        </w:rPr>
        <w:t>-</w:t>
      </w:r>
      <w:r w:rsidR="00864061">
        <w:rPr>
          <w:rFonts w:ascii="Times New Roman" w:hAnsi="Times New Roman"/>
          <w:b w:val="0"/>
          <w:sz w:val="28"/>
          <w:szCs w:val="28"/>
          <w:lang w:val="sr-Latn-RS"/>
        </w:rPr>
        <w:t>00-3/2022-28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864061">
        <w:rPr>
          <w:rFonts w:ascii="Times New Roman" w:hAnsi="Times New Roman"/>
          <w:b/>
          <w:smallCaps/>
          <w:sz w:val="28"/>
          <w:lang w:val="en-GB"/>
        </w:rPr>
        <w:t>general budget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864061" w:rsidRPr="005714FA" w:rsidRDefault="00864061" w:rsidP="00864061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</w:p>
    <w:p w:rsidR="00864061" w:rsidRDefault="00864061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Supply of equipment for communicable disease surveillance and for emergency situations</w:t>
      </w:r>
    </w:p>
    <w:p w:rsidR="00864061" w:rsidRPr="007B70EE" w:rsidRDefault="00864061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Lot 2: IT Equipment Hardware and Software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2661DA">
        <w:rPr>
          <w:rFonts w:ascii="Times New Roman" w:hAnsi="Times New Roman"/>
          <w:b/>
          <w:sz w:val="22"/>
          <w:lang w:val="en-GB"/>
        </w:rPr>
        <w:t>:</w:t>
      </w:r>
      <w:r w:rsidRPr="007B70EE">
        <w:rPr>
          <w:rFonts w:ascii="Times New Roman" w:hAnsi="Times New Roman"/>
          <w:b/>
          <w:sz w:val="22"/>
          <w:lang w:val="en-GB"/>
        </w:rPr>
        <w:t xml:space="preserve"> </w:t>
      </w:r>
      <w:r w:rsidR="002661DA">
        <w:rPr>
          <w:rFonts w:ascii="Times New Roman" w:hAnsi="Times New Roman"/>
          <w:b/>
          <w:sz w:val="22"/>
          <w:lang w:val="sr-Latn-RS"/>
        </w:rPr>
        <w:t>NEAR/BEG/2022/EA-OP/0219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864061" w:rsidRDefault="00864061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</w:t>
      </w:r>
      <w:r w:rsidRPr="000A0107">
        <w:rPr>
          <w:rFonts w:ascii="Times New Roman" w:hAnsi="Times New Roman"/>
          <w:sz w:val="22"/>
          <w:lang w:val="en-GB"/>
        </w:rPr>
        <w:t>supply, delivery, unloading, installation, commissioning</w:t>
      </w:r>
      <w:r>
        <w:rPr>
          <w:rFonts w:ascii="Times New Roman" w:hAnsi="Times New Roman"/>
          <w:sz w:val="22"/>
          <w:lang w:val="en-GB"/>
        </w:rPr>
        <w:t>, configuration, start-up,</w:t>
      </w:r>
      <w:r w:rsidR="00161368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warranty and commercial warranty </w:t>
      </w:r>
      <w:r w:rsidRPr="004F1F8C">
        <w:rPr>
          <w:rFonts w:ascii="Times New Roman" w:hAnsi="Times New Roman"/>
          <w:sz w:val="22"/>
          <w:lang w:val="en-GB"/>
        </w:rPr>
        <w:t>of the following supplies</w:t>
      </w:r>
      <w:r>
        <w:rPr>
          <w:rFonts w:ascii="Times New Roman" w:hAnsi="Times New Roman"/>
          <w:sz w:val="22"/>
          <w:lang w:val="en-GB"/>
        </w:rPr>
        <w:t>:</w:t>
      </w:r>
    </w:p>
    <w:p w:rsidR="00864061" w:rsidRDefault="00864061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tbl>
      <w:tblPr>
        <w:tblW w:w="8518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5907"/>
        <w:gridCol w:w="1530"/>
      </w:tblGrid>
      <w:tr w:rsidR="00864061" w:rsidRPr="00CF684F" w:rsidTr="00A139EA">
        <w:tc>
          <w:tcPr>
            <w:tcW w:w="1081" w:type="dxa"/>
            <w:shd w:val="clear" w:color="auto" w:fill="auto"/>
          </w:tcPr>
          <w:p w:rsidR="00864061" w:rsidRPr="00D1647A" w:rsidRDefault="00864061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D1647A">
              <w:rPr>
                <w:rFonts w:ascii="Times New Roman" w:hAnsi="Times New Roman"/>
                <w:sz w:val="22"/>
                <w:szCs w:val="22"/>
              </w:rPr>
              <w:t xml:space="preserve">Item </w:t>
            </w:r>
            <w:r w:rsidRPr="00D1647A">
              <w:rPr>
                <w:rFonts w:ascii="Times New Roman" w:hAnsi="Times New Roman"/>
                <w:sz w:val="22"/>
                <w:szCs w:val="22"/>
                <w:lang w:val="en-US"/>
              </w:rPr>
              <w:t>n◦</w:t>
            </w:r>
          </w:p>
        </w:tc>
        <w:tc>
          <w:tcPr>
            <w:tcW w:w="5907" w:type="dxa"/>
            <w:shd w:val="clear" w:color="auto" w:fill="auto"/>
          </w:tcPr>
          <w:p w:rsidR="00864061" w:rsidRPr="00CF684F" w:rsidRDefault="00864061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30" w:type="dxa"/>
            <w:shd w:val="clear" w:color="auto" w:fill="auto"/>
          </w:tcPr>
          <w:p w:rsidR="00864061" w:rsidRPr="00CF684F" w:rsidRDefault="00864061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864061" w:rsidRPr="00CF684F" w:rsidTr="00A139EA">
        <w:tc>
          <w:tcPr>
            <w:tcW w:w="1081" w:type="dxa"/>
            <w:shd w:val="clear" w:color="auto" w:fill="auto"/>
          </w:tcPr>
          <w:p w:rsidR="00864061" w:rsidRPr="00D1647A" w:rsidRDefault="00864061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D1647A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5907" w:type="dxa"/>
            <w:shd w:val="clear" w:color="auto" w:fill="auto"/>
          </w:tcPr>
          <w:p w:rsidR="00864061" w:rsidRPr="00D1647A" w:rsidRDefault="00864061" w:rsidP="00367E24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Desktop with software for remote support</w:t>
            </w:r>
          </w:p>
        </w:tc>
        <w:tc>
          <w:tcPr>
            <w:tcW w:w="1530" w:type="dxa"/>
            <w:shd w:val="clear" w:color="auto" w:fill="auto"/>
          </w:tcPr>
          <w:p w:rsidR="00864061" w:rsidRPr="00CF684F" w:rsidRDefault="00864061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F684F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00</w:t>
            </w:r>
          </w:p>
        </w:tc>
      </w:tr>
      <w:tr w:rsidR="00864061" w:rsidRPr="00CF684F" w:rsidTr="00A139EA">
        <w:tc>
          <w:tcPr>
            <w:tcW w:w="1081" w:type="dxa"/>
            <w:shd w:val="clear" w:color="auto" w:fill="auto"/>
          </w:tcPr>
          <w:p w:rsidR="00864061" w:rsidRPr="00D1647A" w:rsidRDefault="00864061" w:rsidP="00A139EA">
            <w:pPr>
              <w:rPr>
                <w:rFonts w:ascii="Times New Roman" w:hAnsi="Times New Roman"/>
                <w:sz w:val="22"/>
                <w:szCs w:val="22"/>
              </w:rPr>
            </w:pPr>
            <w:r w:rsidRPr="00D1647A">
              <w:rPr>
                <w:rFonts w:ascii="Times New Roman" w:hAnsi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5907" w:type="dxa"/>
            <w:shd w:val="clear" w:color="auto" w:fill="auto"/>
          </w:tcPr>
          <w:p w:rsidR="00864061" w:rsidRPr="00D1647A" w:rsidRDefault="00367E24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Monitor for computers</w:t>
            </w:r>
          </w:p>
        </w:tc>
        <w:tc>
          <w:tcPr>
            <w:tcW w:w="1530" w:type="dxa"/>
            <w:shd w:val="clear" w:color="auto" w:fill="auto"/>
          </w:tcPr>
          <w:p w:rsidR="00864061" w:rsidRPr="00CF684F" w:rsidRDefault="00367E24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100</w:t>
            </w:r>
            <w:bookmarkStart w:id="2" w:name="_GoBack"/>
            <w:bookmarkEnd w:id="2"/>
          </w:p>
        </w:tc>
      </w:tr>
      <w:tr w:rsidR="00367E24" w:rsidRPr="00CF684F" w:rsidTr="00A139EA">
        <w:tc>
          <w:tcPr>
            <w:tcW w:w="1081" w:type="dxa"/>
            <w:shd w:val="clear" w:color="auto" w:fill="auto"/>
          </w:tcPr>
          <w:p w:rsidR="00367E24" w:rsidRPr="00D1647A" w:rsidRDefault="00367E24" w:rsidP="00A139E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5907" w:type="dxa"/>
            <w:shd w:val="clear" w:color="auto" w:fill="auto"/>
          </w:tcPr>
          <w:p w:rsidR="00367E24" w:rsidRDefault="00367E24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Notebook with software for remote support</w:t>
            </w:r>
          </w:p>
        </w:tc>
        <w:tc>
          <w:tcPr>
            <w:tcW w:w="1530" w:type="dxa"/>
            <w:shd w:val="clear" w:color="auto" w:fill="auto"/>
          </w:tcPr>
          <w:p w:rsidR="00367E24" w:rsidRDefault="00367E24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30</w:t>
            </w:r>
          </w:p>
        </w:tc>
      </w:tr>
      <w:tr w:rsidR="00864061" w:rsidRPr="00CF684F" w:rsidTr="00A139EA">
        <w:tc>
          <w:tcPr>
            <w:tcW w:w="1081" w:type="dxa"/>
            <w:shd w:val="clear" w:color="auto" w:fill="auto"/>
          </w:tcPr>
          <w:p w:rsidR="00864061" w:rsidRPr="00D1647A" w:rsidRDefault="00864061" w:rsidP="00A139EA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  <w:r w:rsidR="00367E2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907" w:type="dxa"/>
            <w:shd w:val="clear" w:color="auto" w:fill="auto"/>
          </w:tcPr>
          <w:p w:rsidR="00864061" w:rsidRDefault="00864061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en-GB"/>
              </w:rPr>
              <w:t>Server</w:t>
            </w:r>
          </w:p>
        </w:tc>
        <w:tc>
          <w:tcPr>
            <w:tcW w:w="1530" w:type="dxa"/>
            <w:shd w:val="clear" w:color="auto" w:fill="auto"/>
          </w:tcPr>
          <w:p w:rsidR="00864061" w:rsidRDefault="00864061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</w:tbl>
    <w:p w:rsidR="004F1F8C" w:rsidRDefault="004F1F8C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864061" w:rsidRDefault="004D2FD8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864061"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="00864061"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864061"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 w:rsidR="00864061">
        <w:rPr>
          <w:rFonts w:ascii="Times New Roman" w:hAnsi="Times New Roman"/>
          <w:sz w:val="22"/>
          <w:szCs w:val="22"/>
          <w:lang w:val="en-GB"/>
        </w:rPr>
        <w:t>foreseen</w:t>
      </w:r>
      <w:r w:rsidR="00864061" w:rsidRPr="006C3434">
        <w:rPr>
          <w:rFonts w:ascii="Times New Roman" w:hAnsi="Times New Roman"/>
          <w:sz w:val="22"/>
          <w:szCs w:val="22"/>
          <w:lang w:val="en-GB"/>
        </w:rPr>
        <w:t xml:space="preserve"> in the </w:t>
      </w:r>
      <w:r w:rsidR="00864061">
        <w:rPr>
          <w:rFonts w:ascii="Times New Roman" w:hAnsi="Times New Roman"/>
          <w:sz w:val="22"/>
          <w:szCs w:val="22"/>
          <w:lang w:val="en-GB"/>
        </w:rPr>
        <w:t>D</w:t>
      </w:r>
      <w:r w:rsidR="00864061" w:rsidRPr="006C3434">
        <w:rPr>
          <w:rFonts w:ascii="Times New Roman" w:hAnsi="Times New Roman"/>
          <w:sz w:val="22"/>
          <w:szCs w:val="22"/>
          <w:lang w:val="en-GB"/>
        </w:rPr>
        <w:t>istribution list contained in Annex II + III:  Technical Specifications + Technical Offer,</w:t>
      </w:r>
      <w:r w:rsidR="00864061"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311BCD" w:rsidRPr="00311BCD">
        <w:rPr>
          <w:rFonts w:ascii="Times New Roman" w:hAnsi="Times New Roman"/>
          <w:sz w:val="22"/>
          <w:lang w:val="en-GB"/>
        </w:rPr>
        <w:t>26</w:t>
      </w:r>
      <w:r w:rsidR="000C4D77" w:rsidRPr="00311BCD">
        <w:rPr>
          <w:rFonts w:ascii="Times New Roman" w:hAnsi="Times New Roman"/>
          <w:sz w:val="22"/>
          <w:lang w:val="en-GB"/>
        </w:rPr>
        <w:t>0</w:t>
      </w:r>
      <w:r w:rsidR="00864061" w:rsidRPr="00311BCD">
        <w:rPr>
          <w:rFonts w:ascii="Times New Roman" w:hAnsi="Times New Roman"/>
          <w:sz w:val="22"/>
          <w:lang w:val="en-GB"/>
        </w:rPr>
        <w:t xml:space="preserve"> days</w:t>
      </w:r>
      <w:r w:rsidR="00864061"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 w:rsidR="00864061">
        <w:rPr>
          <w:rFonts w:ascii="Times New Roman" w:hAnsi="Times New Roman"/>
          <w:sz w:val="22"/>
          <w:lang w:val="en-GB"/>
        </w:rPr>
        <w:t xml:space="preserve">be </w:t>
      </w:r>
      <w:r w:rsidR="00864061" w:rsidRPr="003316C5">
        <w:rPr>
          <w:rFonts w:ascii="Times New Roman" w:hAnsi="Times New Roman"/>
          <w:sz w:val="22"/>
          <w:lang w:val="en-GB"/>
        </w:rPr>
        <w:t>DDP</w:t>
      </w:r>
      <w:r w:rsidR="00864061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="00864061" w:rsidRPr="00A940DC">
        <w:rPr>
          <w:rFonts w:ascii="Times New Roman" w:hAnsi="Times New Roman"/>
          <w:sz w:val="22"/>
          <w:lang w:val="en-GB"/>
        </w:rPr>
        <w:t>.</w:t>
      </w:r>
    </w:p>
    <w:p w:rsidR="00864061" w:rsidRDefault="00864061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864061" w:rsidRDefault="00864061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0C4D77" w:rsidRPr="000C4D77">
        <w:rPr>
          <w:rFonts w:ascii="Times New Roman" w:hAnsi="Times New Roman"/>
          <w:sz w:val="22"/>
          <w:lang w:val="en-GB"/>
        </w:rPr>
        <w:t>36</w:t>
      </w:r>
      <w:r w:rsidRPr="000C4D77">
        <w:rPr>
          <w:rFonts w:ascii="Times New Roman" w:hAnsi="Times New Roman"/>
          <w:sz w:val="22"/>
          <w:lang w:val="en-GB"/>
        </w:rPr>
        <w:t>0 days</w:t>
      </w:r>
      <w:r>
        <w:rPr>
          <w:rFonts w:ascii="Times New Roman" w:hAnsi="Times New Roman"/>
          <w:sz w:val="22"/>
          <w:lang w:val="en-GB"/>
        </w:rPr>
        <w:t xml:space="preserve"> from the Commencement date to the date for Provisional Acceptance.</w:t>
      </w:r>
    </w:p>
    <w:p w:rsidR="004D2FD8" w:rsidRDefault="004D2FD8" w:rsidP="0086406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864061">
        <w:rPr>
          <w:rFonts w:ascii="Times New Roman" w:hAnsi="Times New Roman"/>
          <w:sz w:val="22"/>
          <w:lang w:val="en-GB"/>
        </w:rPr>
        <w:t>EUR.</w:t>
      </w:r>
      <w:r w:rsidR="00B202BC" w:rsidRPr="00864061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ED25DB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864061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864061">
        <w:rPr>
          <w:rFonts w:ascii="Times New Roman" w:hAnsi="Times New Roman"/>
          <w:sz w:val="22"/>
          <w:lang w:val="en-GB"/>
        </w:rPr>
        <w:t xml:space="preserve">the </w:t>
      </w:r>
      <w:r w:rsidRPr="00864061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864061">
        <w:rPr>
          <w:rFonts w:ascii="Times New Roman" w:hAnsi="Times New Roman"/>
          <w:sz w:val="22"/>
          <w:lang w:val="en-GB"/>
        </w:rPr>
        <w:t>)</w:t>
      </w:r>
      <w:r w:rsidRPr="00864061">
        <w:rPr>
          <w:rFonts w:ascii="Times New Roman" w:hAnsi="Times New Roman"/>
          <w:sz w:val="22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864061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86406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86406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86406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864061">
        <w:rPr>
          <w:rFonts w:ascii="Times New Roman" w:hAnsi="Times New Roman"/>
          <w:sz w:val="22"/>
          <w:lang w:val="en-GB"/>
        </w:rPr>
        <w:t>)</w:t>
      </w:r>
      <w:r w:rsidR="00B80DE8" w:rsidRPr="0086406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864061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864061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864061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AF0EB7">
        <w:rPr>
          <w:rFonts w:ascii="Times New Roman" w:hAnsi="Times New Roman"/>
          <w:sz w:val="22"/>
          <w:szCs w:val="22"/>
        </w:rPr>
        <w:t xml:space="preserve"> </w:t>
      </w:r>
      <w:r w:rsidRPr="00864061">
        <w:rPr>
          <w:rFonts w:ascii="Times New Roman" w:hAnsi="Times New Roman"/>
          <w:sz w:val="22"/>
          <w:szCs w:val="22"/>
        </w:rPr>
        <w:t>the head of contracts and finance unit R4 of DG Neighbourho</w:t>
      </w:r>
      <w:r w:rsidR="00864061" w:rsidRPr="00864061">
        <w:rPr>
          <w:rFonts w:ascii="Times New Roman" w:hAnsi="Times New Roman"/>
          <w:sz w:val="22"/>
          <w:szCs w:val="22"/>
        </w:rPr>
        <w:t>od and Enlargement Negotiations.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lastRenderedPageBreak/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="00AF0EB7" w:rsidRPr="000D4DE7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AF0EB7" w:rsidRPr="00750BB6">
        <w:rPr>
          <w:rFonts w:ascii="Times New Roman" w:hAnsi="Times New Roman"/>
          <w:sz w:val="22"/>
          <w:szCs w:val="22"/>
          <w:lang w:val="en-GB"/>
        </w:rPr>
        <w:t>three</w:t>
      </w:r>
      <w:r w:rsidR="00AF0EB7" w:rsidRPr="000D4DE7">
        <w:rPr>
          <w:rFonts w:ascii="Times New Roman" w:hAnsi="Times New Roman"/>
          <w:sz w:val="22"/>
          <w:szCs w:val="22"/>
          <w:lang w:val="en-GB"/>
        </w:rPr>
        <w:t xml:space="preserve"> ori</w:t>
      </w:r>
      <w:r w:rsidR="00AF0EB7" w:rsidRPr="00202D24">
        <w:rPr>
          <w:rFonts w:ascii="Times New Roman" w:hAnsi="Times New Roman"/>
          <w:sz w:val="22"/>
          <w:szCs w:val="22"/>
          <w:lang w:val="en-GB"/>
        </w:rPr>
        <w:t>ginals,</w:t>
      </w:r>
      <w:r w:rsidR="00AF0EB7" w:rsidRPr="00202D24">
        <w:rPr>
          <w:rFonts w:ascii="Times New Roman" w:hAnsi="Times New Roman"/>
          <w:i/>
          <w:sz w:val="22"/>
          <w:lang w:val="en-GB"/>
        </w:rPr>
        <w:t xml:space="preserve"> </w:t>
      </w:r>
      <w:r w:rsidR="00AF0EB7" w:rsidRPr="00202D24">
        <w:rPr>
          <w:rFonts w:ascii="Times New Roman" w:hAnsi="Times New Roman"/>
          <w:sz w:val="22"/>
          <w:lang w:val="en-GB"/>
        </w:rPr>
        <w:t>one original being for the contracting authority, one original being for the European Commission,</w:t>
      </w:r>
      <w:r w:rsidR="00AF0EB7">
        <w:rPr>
          <w:rFonts w:ascii="Times New Roman" w:hAnsi="Times New Roman"/>
          <w:sz w:val="22"/>
          <w:lang w:val="en-GB"/>
        </w:rPr>
        <w:t xml:space="preserve"> </w:t>
      </w:r>
      <w:r w:rsidR="00AF0EB7" w:rsidRPr="00202D24">
        <w:rPr>
          <w:rFonts w:ascii="Times New Roman" w:hAnsi="Times New Roman"/>
          <w:sz w:val="22"/>
          <w:lang w:val="en-GB"/>
        </w:rPr>
        <w:t>and</w:t>
      </w:r>
      <w:r w:rsidR="00AF0EB7"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AF0EB7">
        <w:rPr>
          <w:rFonts w:ascii="Times New Roman" w:hAnsi="Times New Roman"/>
          <w:sz w:val="22"/>
          <w:lang w:val="en-GB"/>
        </w:rPr>
        <w:t>contractor.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6D7" w:rsidRDefault="004E66D7">
      <w:r>
        <w:separator/>
      </w:r>
    </w:p>
    <w:p w:rsidR="004E66D7" w:rsidRDefault="004E66D7"/>
  </w:endnote>
  <w:endnote w:type="continuationSeparator" w:id="0">
    <w:p w:rsidR="004E66D7" w:rsidRDefault="004E66D7">
      <w:r>
        <w:continuationSeparator/>
      </w:r>
    </w:p>
    <w:p w:rsidR="004E66D7" w:rsidRDefault="004E6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67E2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367E2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E46866">
      <w:rPr>
        <w:rFonts w:ascii="Times New Roman" w:hAnsi="Times New Roman"/>
        <w:noProof/>
        <w:sz w:val="18"/>
        <w:szCs w:val="18"/>
        <w:lang w:val="en-GB"/>
      </w:rPr>
      <w:t>c4c_contract_en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6D7" w:rsidRDefault="004E66D7" w:rsidP="008056C4">
      <w:pPr>
        <w:spacing w:before="0" w:after="0"/>
      </w:pPr>
      <w:r>
        <w:separator/>
      </w:r>
    </w:p>
  </w:footnote>
  <w:footnote w:type="continuationSeparator" w:id="0">
    <w:p w:rsidR="004E66D7" w:rsidRDefault="004E66D7">
      <w:r>
        <w:continuationSeparator/>
      </w:r>
    </w:p>
    <w:p w:rsidR="004E66D7" w:rsidRDefault="004E66D7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864061" w:rsidRPr="00C675D1" w:rsidRDefault="00864061" w:rsidP="00864061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C4D77"/>
    <w:rsid w:val="000D1A29"/>
    <w:rsid w:val="000D24E3"/>
    <w:rsid w:val="000D2B44"/>
    <w:rsid w:val="000D40DB"/>
    <w:rsid w:val="000D4DE7"/>
    <w:rsid w:val="000E7B75"/>
    <w:rsid w:val="000F10D6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1368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661DA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1BC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67E24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E66D7"/>
    <w:rsid w:val="004F1F8C"/>
    <w:rsid w:val="004F5C57"/>
    <w:rsid w:val="00501FF0"/>
    <w:rsid w:val="00503F45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64061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25FB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0EB7"/>
    <w:rsid w:val="00AF1EEF"/>
    <w:rsid w:val="00AF4052"/>
    <w:rsid w:val="00AF562F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DB0"/>
    <w:rsid w:val="00C34E40"/>
    <w:rsid w:val="00C5182F"/>
    <w:rsid w:val="00C56125"/>
    <w:rsid w:val="00C61312"/>
    <w:rsid w:val="00C62ACA"/>
    <w:rsid w:val="00C657CD"/>
    <w:rsid w:val="00C675D1"/>
    <w:rsid w:val="00C715B2"/>
    <w:rsid w:val="00C720C8"/>
    <w:rsid w:val="00C75CCE"/>
    <w:rsid w:val="00C76F63"/>
    <w:rsid w:val="00C85F62"/>
    <w:rsid w:val="00C92434"/>
    <w:rsid w:val="00C947B6"/>
    <w:rsid w:val="00CA1354"/>
    <w:rsid w:val="00CA1A45"/>
    <w:rsid w:val="00CA3EA4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46866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A4ED7"/>
    <w:rsid w:val="00EA6F27"/>
    <w:rsid w:val="00EC057A"/>
    <w:rsid w:val="00EC1BF6"/>
    <w:rsid w:val="00ED25DB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5462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  <w:rsid w:val="00FE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1E2538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21839-7CEA-4443-AB32-495DEB0A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4005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14</cp:revision>
  <cp:lastPrinted>2022-12-05T13:00:00Z</cp:lastPrinted>
  <dcterms:created xsi:type="dcterms:W3CDTF">2022-08-24T11:11:00Z</dcterms:created>
  <dcterms:modified xsi:type="dcterms:W3CDTF">2023-01-25T07:47:00Z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