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1A63AB8D" w14:textId="77777777" w:rsidR="001911FE" w:rsidRPr="00792A63" w:rsidRDefault="000724EA" w:rsidP="001911F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1911FE"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14:paraId="7CB9042E" w14:textId="48ED6B4D" w:rsidR="001911FE" w:rsidRDefault="001911FE" w:rsidP="001911FE">
      <w:pPr>
        <w:ind w:left="1080"/>
        <w:rPr>
          <w:rFonts w:ascii="Times New Roman" w:hAnsi="Times New Roman"/>
          <w:sz w:val="22"/>
          <w:szCs w:val="22"/>
        </w:rPr>
      </w:pPr>
      <w:r w:rsidRPr="00792A63">
        <w:rPr>
          <w:rFonts w:ascii="Times New Roman" w:hAnsi="Times New Roman"/>
          <w:sz w:val="22"/>
          <w:szCs w:val="22"/>
        </w:rPr>
        <w:t>Contact persons, addresses of the parties and contact details that will be used for communication:</w:t>
      </w:r>
    </w:p>
    <w:p w14:paraId="573A4AFA" w14:textId="682FC092" w:rsidR="001911FE" w:rsidRPr="001911FE" w:rsidRDefault="001911FE" w:rsidP="001911FE">
      <w:pPr>
        <w:ind w:left="1080"/>
        <w:rPr>
          <w:rFonts w:ascii="Times New Roman" w:hAnsi="Times New Roman"/>
          <w:sz w:val="22"/>
          <w:szCs w:val="22"/>
          <w:lang w:val="sr-Latn-RS"/>
        </w:rPr>
      </w:pPr>
      <w:r>
        <w:rPr>
          <w:rFonts w:ascii="Times New Roman" w:hAnsi="Times New Roman"/>
          <w:sz w:val="22"/>
          <w:szCs w:val="22"/>
        </w:rPr>
        <w:t>For the Contracting Authority</w:t>
      </w:r>
      <w:r>
        <w:rPr>
          <w:rFonts w:ascii="Times New Roman" w:hAnsi="Times New Roman"/>
          <w:sz w:val="22"/>
          <w:szCs w:val="22"/>
          <w:lang w:val="sr-Latn-RS"/>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1911FE" w14:paraId="31588DC6" w14:textId="77777777" w:rsidTr="003B452C">
        <w:tc>
          <w:tcPr>
            <w:tcW w:w="1665" w:type="dxa"/>
            <w:tcBorders>
              <w:top w:val="single" w:sz="4" w:space="0" w:color="auto"/>
              <w:left w:val="single" w:sz="4" w:space="0" w:color="auto"/>
              <w:bottom w:val="single" w:sz="6" w:space="0" w:color="auto"/>
              <w:right w:val="single" w:sz="6" w:space="0" w:color="auto"/>
            </w:tcBorders>
            <w:shd w:val="pct10" w:color="auto" w:fill="FFFFFF"/>
            <w:hideMark/>
          </w:tcPr>
          <w:p w14:paraId="7331BA12" w14:textId="77777777" w:rsidR="001911FE" w:rsidRDefault="001911FE" w:rsidP="003B452C">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6" w:space="0" w:color="auto"/>
              <w:bottom w:val="single" w:sz="6" w:space="0" w:color="auto"/>
              <w:right w:val="single" w:sz="6" w:space="0" w:color="auto"/>
            </w:tcBorders>
            <w:vAlign w:val="center"/>
            <w:hideMark/>
          </w:tcPr>
          <w:p w14:paraId="55BC3C0C" w14:textId="77777777" w:rsidR="001911FE" w:rsidRDefault="001911FE" w:rsidP="003B452C">
            <w:pPr>
              <w:rPr>
                <w:rFonts w:ascii="Times New Roman" w:hAnsi="Times New Roman"/>
                <w:sz w:val="22"/>
                <w:szCs w:val="22"/>
              </w:rPr>
            </w:pPr>
          </w:p>
        </w:tc>
      </w:tr>
      <w:tr w:rsidR="001911FE" w14:paraId="4092D811" w14:textId="77777777" w:rsidTr="003B452C">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2D43B09C" w14:textId="77777777" w:rsidR="001911FE" w:rsidRDefault="001911FE" w:rsidP="003B452C">
            <w:pPr>
              <w:jc w:val="both"/>
              <w:rPr>
                <w:rFonts w:ascii="Times New Roman" w:hAnsi="Times New Roman"/>
                <w:b/>
                <w:sz w:val="22"/>
                <w:szCs w:val="22"/>
              </w:rPr>
            </w:pPr>
            <w:r>
              <w:rPr>
                <w:rFonts w:ascii="Times New Roman" w:hAnsi="Times New Roman"/>
                <w:b/>
                <w:sz w:val="22"/>
                <w:szCs w:val="22"/>
              </w:rPr>
              <w:t>Address:</w:t>
            </w:r>
          </w:p>
        </w:tc>
        <w:tc>
          <w:tcPr>
            <w:tcW w:w="5385" w:type="dxa"/>
            <w:tcBorders>
              <w:top w:val="single" w:sz="6" w:space="0" w:color="auto"/>
              <w:left w:val="single" w:sz="6" w:space="0" w:color="auto"/>
              <w:bottom w:val="single" w:sz="6" w:space="0" w:color="auto"/>
              <w:right w:val="single" w:sz="6" w:space="0" w:color="auto"/>
            </w:tcBorders>
            <w:vAlign w:val="center"/>
            <w:hideMark/>
          </w:tcPr>
          <w:p w14:paraId="18DB15AF" w14:textId="77777777" w:rsidR="001911FE" w:rsidRPr="00300379"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Ministry of Finance, Department for Contracting and Financing of EU Funded Programmes (CFCU)</w:t>
            </w:r>
          </w:p>
          <w:p w14:paraId="27DB9937" w14:textId="77777777" w:rsidR="001911FE" w:rsidRPr="00300379"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Sremska 3-5 St, VII floor, office 701</w:t>
            </w:r>
          </w:p>
          <w:p w14:paraId="2E91A720" w14:textId="77777777" w:rsidR="001911FE" w:rsidRPr="00300379"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11000 Belgrade</w:t>
            </w:r>
          </w:p>
          <w:p w14:paraId="24C54FCB" w14:textId="77777777" w:rsidR="001911FE" w:rsidRDefault="001911FE" w:rsidP="003B452C">
            <w:pPr>
              <w:spacing w:before="0" w:after="0"/>
              <w:rPr>
                <w:rFonts w:ascii="Times New Roman" w:hAnsi="Times New Roman"/>
                <w:sz w:val="22"/>
                <w:szCs w:val="22"/>
                <w:lang w:val="nb-NO"/>
              </w:rPr>
            </w:pPr>
            <w:r w:rsidRPr="00300379">
              <w:rPr>
                <w:rFonts w:ascii="Times New Roman" w:hAnsi="Times New Roman"/>
                <w:sz w:val="22"/>
                <w:szCs w:val="22"/>
                <w:lang w:val="nb-NO"/>
              </w:rPr>
              <w:t>Republic of Serbia</w:t>
            </w:r>
          </w:p>
        </w:tc>
      </w:tr>
      <w:tr w:rsidR="001911FE" w14:paraId="3F834E88" w14:textId="77777777" w:rsidTr="003B452C">
        <w:tc>
          <w:tcPr>
            <w:tcW w:w="1665" w:type="dxa"/>
            <w:tcBorders>
              <w:top w:val="single" w:sz="6" w:space="0" w:color="auto"/>
              <w:left w:val="single" w:sz="4" w:space="0" w:color="auto"/>
              <w:bottom w:val="single" w:sz="6" w:space="0" w:color="auto"/>
              <w:right w:val="single" w:sz="6" w:space="0" w:color="auto"/>
            </w:tcBorders>
            <w:shd w:val="pct10" w:color="auto" w:fill="FFFFFF"/>
            <w:hideMark/>
          </w:tcPr>
          <w:p w14:paraId="5C77DC4A" w14:textId="77777777" w:rsidR="001911FE" w:rsidRDefault="001911FE" w:rsidP="003B452C">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6" w:space="0" w:color="auto"/>
              <w:left w:val="single" w:sz="6" w:space="0" w:color="auto"/>
              <w:bottom w:val="single" w:sz="6" w:space="0" w:color="auto"/>
              <w:right w:val="single" w:sz="6" w:space="0" w:color="auto"/>
            </w:tcBorders>
            <w:vAlign w:val="center"/>
            <w:hideMark/>
          </w:tcPr>
          <w:p w14:paraId="7D4AF419" w14:textId="77777777" w:rsidR="001911FE" w:rsidRDefault="001911FE" w:rsidP="003B452C">
            <w:pPr>
              <w:tabs>
                <w:tab w:val="left" w:pos="34"/>
              </w:tabs>
              <w:rPr>
                <w:rFonts w:ascii="Times New Roman" w:hAnsi="Times New Roman"/>
                <w:sz w:val="22"/>
                <w:szCs w:val="22"/>
              </w:rPr>
            </w:pPr>
          </w:p>
        </w:tc>
      </w:tr>
      <w:tr w:rsidR="001911FE" w14:paraId="45743FA4" w14:textId="77777777" w:rsidTr="003B452C">
        <w:tc>
          <w:tcPr>
            <w:tcW w:w="1665" w:type="dxa"/>
            <w:tcBorders>
              <w:top w:val="single" w:sz="6" w:space="0" w:color="auto"/>
              <w:left w:val="single" w:sz="4" w:space="0" w:color="auto"/>
              <w:bottom w:val="single" w:sz="4" w:space="0" w:color="auto"/>
              <w:right w:val="single" w:sz="6" w:space="0" w:color="auto"/>
            </w:tcBorders>
            <w:shd w:val="pct10" w:color="auto" w:fill="FFFFFF"/>
            <w:hideMark/>
          </w:tcPr>
          <w:p w14:paraId="2B687D2B" w14:textId="77777777" w:rsidR="001911FE" w:rsidRDefault="001911FE" w:rsidP="003B452C">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6" w:space="0" w:color="auto"/>
              <w:left w:val="single" w:sz="6" w:space="0" w:color="auto"/>
              <w:bottom w:val="single" w:sz="4" w:space="0" w:color="auto"/>
              <w:right w:val="single" w:sz="6" w:space="0" w:color="auto"/>
            </w:tcBorders>
            <w:vAlign w:val="center"/>
            <w:hideMark/>
          </w:tcPr>
          <w:p w14:paraId="62969237" w14:textId="77777777" w:rsidR="001911FE" w:rsidRDefault="001911FE" w:rsidP="003B452C">
            <w:pPr>
              <w:tabs>
                <w:tab w:val="left" w:pos="34"/>
              </w:tabs>
              <w:rPr>
                <w:rFonts w:ascii="Times New Roman" w:hAnsi="Times New Roman"/>
                <w:sz w:val="22"/>
                <w:szCs w:val="22"/>
              </w:rPr>
            </w:pPr>
          </w:p>
        </w:tc>
      </w:tr>
    </w:tbl>
    <w:p w14:paraId="17BA537E" w14:textId="77777777" w:rsidR="001911FE" w:rsidRDefault="001911FE" w:rsidP="001911FE">
      <w:pPr>
        <w:ind w:left="1134"/>
        <w:jc w:val="both"/>
        <w:rPr>
          <w:rFonts w:ascii="Times New Roman" w:hAnsi="Times New Roman"/>
          <w:sz w:val="22"/>
          <w:szCs w:val="22"/>
        </w:rPr>
      </w:pPr>
      <w:r>
        <w:rPr>
          <w:rFonts w:ascii="Times New Roman" w:hAnsi="Times New Roman"/>
          <w:sz w:val="22"/>
          <w:szCs w:val="22"/>
          <w:u w:val="single"/>
        </w:rPr>
        <w:t>For the Contractor</w:t>
      </w:r>
      <w:r>
        <w:rPr>
          <w:rFonts w:ascii="Times New Roman" w:hAnsi="Times New Roman"/>
          <w:sz w:val="22"/>
          <w:szCs w:val="22"/>
        </w:rPr>
        <w:t>:</w:t>
      </w:r>
    </w:p>
    <w:tbl>
      <w:tblPr>
        <w:tblW w:w="705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5"/>
        <w:gridCol w:w="5385"/>
      </w:tblGrid>
      <w:tr w:rsidR="001911FE" w14:paraId="2F0E3E01" w14:textId="77777777" w:rsidTr="003B452C">
        <w:trPr>
          <w:trHeight w:val="315"/>
        </w:trPr>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6221C53D" w14:textId="77777777" w:rsidR="001911FE" w:rsidRDefault="001911FE" w:rsidP="003B452C">
            <w:pPr>
              <w:jc w:val="both"/>
              <w:rPr>
                <w:rFonts w:ascii="Times New Roman" w:hAnsi="Times New Roman"/>
                <w:b/>
                <w:sz w:val="22"/>
                <w:szCs w:val="22"/>
              </w:rPr>
            </w:pPr>
            <w:r>
              <w:rPr>
                <w:rFonts w:ascii="Times New Roman" w:hAnsi="Times New Roman"/>
                <w:b/>
                <w:sz w:val="22"/>
                <w:szCs w:val="22"/>
              </w:rPr>
              <w:t>Name:</w:t>
            </w:r>
          </w:p>
        </w:tc>
        <w:tc>
          <w:tcPr>
            <w:tcW w:w="5385" w:type="dxa"/>
            <w:tcBorders>
              <w:top w:val="single" w:sz="4" w:space="0" w:color="auto"/>
              <w:left w:val="single" w:sz="4" w:space="0" w:color="auto"/>
              <w:bottom w:val="single" w:sz="4" w:space="0" w:color="auto"/>
              <w:right w:val="single" w:sz="4" w:space="0" w:color="auto"/>
            </w:tcBorders>
          </w:tcPr>
          <w:p w14:paraId="4498A567" w14:textId="77777777" w:rsidR="001911FE" w:rsidRDefault="001911FE" w:rsidP="003B452C">
            <w:pPr>
              <w:jc w:val="both"/>
              <w:rPr>
                <w:rFonts w:ascii="Times New Roman" w:hAnsi="Times New Roman"/>
                <w:sz w:val="22"/>
                <w:szCs w:val="22"/>
              </w:rPr>
            </w:pPr>
          </w:p>
        </w:tc>
      </w:tr>
      <w:tr w:rsidR="001911FE" w14:paraId="20459908" w14:textId="77777777" w:rsidTr="003B452C">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506D812E" w14:textId="77777777" w:rsidR="001911FE" w:rsidRDefault="001911FE" w:rsidP="003B452C">
            <w:pPr>
              <w:pStyle w:val="IndexHeading"/>
              <w:spacing w:after="0"/>
              <w:rPr>
                <w:rFonts w:ascii="Times New Roman" w:hAnsi="Times New Roman"/>
                <w:sz w:val="22"/>
                <w:szCs w:val="22"/>
              </w:rPr>
            </w:pPr>
            <w:r>
              <w:rPr>
                <w:rFonts w:ascii="Times New Roman" w:hAnsi="Times New Roman"/>
                <w:sz w:val="22"/>
                <w:szCs w:val="22"/>
              </w:rPr>
              <w:t>Address:</w:t>
            </w:r>
          </w:p>
        </w:tc>
        <w:tc>
          <w:tcPr>
            <w:tcW w:w="5385" w:type="dxa"/>
            <w:tcBorders>
              <w:top w:val="single" w:sz="4" w:space="0" w:color="auto"/>
              <w:left w:val="single" w:sz="4" w:space="0" w:color="auto"/>
              <w:bottom w:val="single" w:sz="4" w:space="0" w:color="auto"/>
              <w:right w:val="single" w:sz="4" w:space="0" w:color="auto"/>
            </w:tcBorders>
          </w:tcPr>
          <w:p w14:paraId="1401B33B" w14:textId="77777777" w:rsidR="001911FE" w:rsidRDefault="001911FE" w:rsidP="003B452C">
            <w:pPr>
              <w:jc w:val="both"/>
              <w:rPr>
                <w:rFonts w:ascii="Times New Roman" w:hAnsi="Times New Roman"/>
                <w:sz w:val="22"/>
                <w:szCs w:val="22"/>
              </w:rPr>
            </w:pPr>
          </w:p>
        </w:tc>
      </w:tr>
      <w:tr w:rsidR="001911FE" w14:paraId="39E3E06A" w14:textId="77777777" w:rsidTr="003B452C">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290C7D08" w14:textId="77777777" w:rsidR="001911FE" w:rsidRDefault="001911FE" w:rsidP="003B452C">
            <w:pPr>
              <w:jc w:val="both"/>
              <w:rPr>
                <w:rFonts w:ascii="Times New Roman" w:hAnsi="Times New Roman"/>
                <w:b/>
                <w:sz w:val="22"/>
                <w:szCs w:val="22"/>
              </w:rPr>
            </w:pPr>
            <w:r>
              <w:rPr>
                <w:rFonts w:ascii="Times New Roman" w:hAnsi="Times New Roman"/>
                <w:b/>
                <w:sz w:val="22"/>
                <w:szCs w:val="22"/>
              </w:rPr>
              <w:t>Telephone:</w:t>
            </w:r>
          </w:p>
        </w:tc>
        <w:tc>
          <w:tcPr>
            <w:tcW w:w="5385" w:type="dxa"/>
            <w:tcBorders>
              <w:top w:val="single" w:sz="4" w:space="0" w:color="auto"/>
              <w:left w:val="single" w:sz="4" w:space="0" w:color="auto"/>
              <w:bottom w:val="single" w:sz="4" w:space="0" w:color="auto"/>
              <w:right w:val="single" w:sz="4" w:space="0" w:color="auto"/>
            </w:tcBorders>
          </w:tcPr>
          <w:p w14:paraId="5F256D6D" w14:textId="77777777" w:rsidR="001911FE" w:rsidRDefault="001911FE" w:rsidP="003B452C">
            <w:pPr>
              <w:jc w:val="both"/>
              <w:rPr>
                <w:rFonts w:ascii="Times New Roman" w:hAnsi="Times New Roman"/>
                <w:sz w:val="22"/>
                <w:szCs w:val="22"/>
              </w:rPr>
            </w:pPr>
          </w:p>
        </w:tc>
      </w:tr>
      <w:tr w:rsidR="001911FE" w14:paraId="7FEBE6BF" w14:textId="77777777" w:rsidTr="003B452C">
        <w:tc>
          <w:tcPr>
            <w:tcW w:w="1665" w:type="dxa"/>
            <w:tcBorders>
              <w:top w:val="single" w:sz="4" w:space="0" w:color="auto"/>
              <w:left w:val="single" w:sz="4" w:space="0" w:color="auto"/>
              <w:bottom w:val="single" w:sz="4" w:space="0" w:color="auto"/>
              <w:right w:val="single" w:sz="4" w:space="0" w:color="auto"/>
            </w:tcBorders>
            <w:shd w:val="pct10" w:color="auto" w:fill="FFFFFF"/>
            <w:hideMark/>
          </w:tcPr>
          <w:p w14:paraId="762518F9" w14:textId="77777777" w:rsidR="001911FE" w:rsidRDefault="001911FE" w:rsidP="003B452C">
            <w:pPr>
              <w:jc w:val="both"/>
              <w:rPr>
                <w:rFonts w:ascii="Times New Roman" w:hAnsi="Times New Roman"/>
                <w:b/>
                <w:sz w:val="22"/>
                <w:szCs w:val="22"/>
              </w:rPr>
            </w:pPr>
            <w:r>
              <w:rPr>
                <w:rFonts w:ascii="Times New Roman" w:hAnsi="Times New Roman"/>
                <w:b/>
                <w:sz w:val="22"/>
                <w:szCs w:val="22"/>
              </w:rPr>
              <w:t>e-mail:</w:t>
            </w:r>
          </w:p>
        </w:tc>
        <w:tc>
          <w:tcPr>
            <w:tcW w:w="5385" w:type="dxa"/>
            <w:tcBorders>
              <w:top w:val="single" w:sz="4" w:space="0" w:color="auto"/>
              <w:left w:val="single" w:sz="4" w:space="0" w:color="auto"/>
              <w:bottom w:val="single" w:sz="4" w:space="0" w:color="auto"/>
              <w:right w:val="single" w:sz="4" w:space="0" w:color="auto"/>
            </w:tcBorders>
          </w:tcPr>
          <w:p w14:paraId="083BF9D4" w14:textId="77777777" w:rsidR="001911FE" w:rsidRDefault="001911FE" w:rsidP="003B452C">
            <w:pPr>
              <w:jc w:val="both"/>
              <w:rPr>
                <w:rFonts w:ascii="Times New Roman" w:hAnsi="Times New Roman"/>
                <w:sz w:val="22"/>
                <w:szCs w:val="22"/>
              </w:rPr>
            </w:pPr>
          </w:p>
        </w:tc>
      </w:tr>
    </w:tbl>
    <w:p w14:paraId="18001816" w14:textId="77777777" w:rsidR="001911FE" w:rsidRPr="004B57F2" w:rsidRDefault="001911FE" w:rsidP="001911FE">
      <w:pPr>
        <w:ind w:left="1134"/>
        <w:jc w:val="both"/>
        <w:rPr>
          <w:rFonts w:ascii="Times New Roman" w:hAnsi="Times New Roman"/>
          <w:sz w:val="22"/>
          <w:szCs w:val="22"/>
          <w:u w:val="single"/>
        </w:rPr>
      </w:pPr>
      <w:r>
        <w:rPr>
          <w:rFonts w:ascii="Times New Roman" w:hAnsi="Times New Roman"/>
          <w:sz w:val="22"/>
          <w:szCs w:val="22"/>
          <w:u w:val="single"/>
        </w:rPr>
        <w:t>For the Beneficiary:</w:t>
      </w:r>
    </w:p>
    <w:tbl>
      <w:tblPr>
        <w:tblW w:w="7088"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5414"/>
      </w:tblGrid>
      <w:tr w:rsidR="001911FE" w14:paraId="02DFD514" w14:textId="77777777" w:rsidTr="003B452C">
        <w:trPr>
          <w:trHeight w:val="5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6A8D0A5" w14:textId="77777777" w:rsidR="001911FE" w:rsidRDefault="001911FE" w:rsidP="003B452C">
            <w:pPr>
              <w:jc w:val="both"/>
              <w:rPr>
                <w:rFonts w:ascii="Times New Roman" w:hAnsi="Times New Roman"/>
                <w:b/>
                <w:sz w:val="22"/>
                <w:szCs w:val="22"/>
              </w:rPr>
            </w:pPr>
            <w:r>
              <w:rPr>
                <w:rFonts w:ascii="Times New Roman" w:hAnsi="Times New Roman"/>
                <w:b/>
                <w:sz w:val="22"/>
                <w:szCs w:val="22"/>
              </w:rPr>
              <w:t>Name:</w:t>
            </w:r>
          </w:p>
        </w:tc>
        <w:tc>
          <w:tcPr>
            <w:tcW w:w="5414" w:type="dxa"/>
            <w:tcBorders>
              <w:top w:val="single" w:sz="4" w:space="0" w:color="auto"/>
              <w:left w:val="single" w:sz="4" w:space="0" w:color="auto"/>
              <w:bottom w:val="single" w:sz="4" w:space="0" w:color="auto"/>
              <w:right w:val="single" w:sz="4" w:space="0" w:color="auto"/>
            </w:tcBorders>
          </w:tcPr>
          <w:p w14:paraId="25591CD0" w14:textId="77777777" w:rsidR="001911FE" w:rsidRDefault="001911FE" w:rsidP="003B452C">
            <w:pPr>
              <w:spacing w:before="0" w:after="0"/>
              <w:jc w:val="both"/>
              <w:rPr>
                <w:rFonts w:ascii="Times New Roman" w:hAnsi="Times New Roman"/>
                <w:sz w:val="22"/>
                <w:szCs w:val="22"/>
                <w:lang w:val="en-US"/>
              </w:rPr>
            </w:pPr>
          </w:p>
          <w:p w14:paraId="66B32D5A" w14:textId="77777777" w:rsidR="001911FE" w:rsidRPr="00CD53B9" w:rsidRDefault="001911FE" w:rsidP="003B452C">
            <w:pPr>
              <w:jc w:val="both"/>
              <w:rPr>
                <w:rFonts w:ascii="Times New Roman" w:hAnsi="Times New Roman"/>
                <w:sz w:val="22"/>
                <w:szCs w:val="22"/>
                <w:lang w:val="sr-Latn-RS"/>
              </w:rPr>
            </w:pPr>
          </w:p>
        </w:tc>
      </w:tr>
      <w:tr w:rsidR="001911FE" w14:paraId="026AB0B7" w14:textId="77777777" w:rsidTr="003B452C">
        <w:trPr>
          <w:trHeight w:val="137"/>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FFE0BA6" w14:textId="77777777" w:rsidR="001911FE" w:rsidRDefault="001911FE" w:rsidP="003B452C">
            <w:pPr>
              <w:pStyle w:val="IndexHeading"/>
              <w:spacing w:after="0"/>
              <w:rPr>
                <w:rFonts w:ascii="Times New Roman" w:hAnsi="Times New Roman"/>
                <w:sz w:val="22"/>
                <w:szCs w:val="22"/>
              </w:rPr>
            </w:pPr>
            <w:r>
              <w:rPr>
                <w:rFonts w:ascii="Times New Roman" w:hAnsi="Times New Roman"/>
                <w:sz w:val="22"/>
                <w:szCs w:val="22"/>
              </w:rPr>
              <w:t>Address:</w:t>
            </w:r>
          </w:p>
        </w:tc>
        <w:tc>
          <w:tcPr>
            <w:tcW w:w="5414" w:type="dxa"/>
            <w:tcBorders>
              <w:top w:val="single" w:sz="4" w:space="0" w:color="auto"/>
              <w:left w:val="single" w:sz="4" w:space="0" w:color="auto"/>
              <w:bottom w:val="single" w:sz="4" w:space="0" w:color="auto"/>
              <w:right w:val="single" w:sz="4" w:space="0" w:color="auto"/>
            </w:tcBorders>
          </w:tcPr>
          <w:p w14:paraId="0789328E" w14:textId="77777777" w:rsidR="001911FE" w:rsidRDefault="001911FE" w:rsidP="001911FE">
            <w:pPr>
              <w:spacing w:before="0" w:after="0"/>
              <w:jc w:val="both"/>
              <w:rPr>
                <w:rFonts w:ascii="Times New Roman" w:hAnsi="Times New Roman"/>
                <w:sz w:val="22"/>
                <w:szCs w:val="22"/>
                <w:lang w:val="en-US"/>
              </w:rPr>
            </w:pPr>
            <w:r>
              <w:rPr>
                <w:rFonts w:ascii="Times New Roman" w:hAnsi="Times New Roman"/>
                <w:sz w:val="22"/>
                <w:szCs w:val="22"/>
                <w:lang w:val="en-US"/>
              </w:rPr>
              <w:t>Ministry of Health</w:t>
            </w:r>
          </w:p>
          <w:p w14:paraId="35652CAB" w14:textId="77777777" w:rsidR="001911FE" w:rsidRDefault="001911FE" w:rsidP="001911FE">
            <w:pPr>
              <w:spacing w:before="0" w:after="0"/>
              <w:jc w:val="both"/>
              <w:rPr>
                <w:rFonts w:ascii="Times New Roman" w:hAnsi="Times New Roman"/>
                <w:sz w:val="22"/>
                <w:szCs w:val="22"/>
                <w:lang w:val="en-US"/>
              </w:rPr>
            </w:pPr>
            <w:r>
              <w:rPr>
                <w:rFonts w:ascii="Times New Roman" w:hAnsi="Times New Roman"/>
                <w:sz w:val="22"/>
                <w:szCs w:val="22"/>
                <w:lang w:val="en-US"/>
              </w:rPr>
              <w:t>Sector for EU and International Cooperation</w:t>
            </w:r>
          </w:p>
          <w:p w14:paraId="056F6B5D" w14:textId="77777777" w:rsidR="001911FE" w:rsidRDefault="001911FE" w:rsidP="001911FE">
            <w:pPr>
              <w:spacing w:before="0" w:after="0"/>
              <w:jc w:val="both"/>
              <w:rPr>
                <w:rFonts w:ascii="Times New Roman" w:hAnsi="Times New Roman"/>
                <w:sz w:val="22"/>
                <w:szCs w:val="22"/>
                <w:lang w:val="en-US"/>
              </w:rPr>
            </w:pPr>
            <w:proofErr w:type="spellStart"/>
            <w:r>
              <w:rPr>
                <w:rFonts w:ascii="Times New Roman" w:hAnsi="Times New Roman"/>
                <w:sz w:val="22"/>
                <w:szCs w:val="22"/>
                <w:lang w:val="en-US"/>
              </w:rPr>
              <w:t>Nemanjina</w:t>
            </w:r>
            <w:proofErr w:type="spellEnd"/>
            <w:r>
              <w:rPr>
                <w:rFonts w:ascii="Times New Roman" w:hAnsi="Times New Roman"/>
                <w:sz w:val="22"/>
                <w:szCs w:val="22"/>
                <w:lang w:val="en-US"/>
              </w:rPr>
              <w:t xml:space="preserve"> 22-26, 11000 Belgrade</w:t>
            </w:r>
          </w:p>
          <w:p w14:paraId="33F2BDDE" w14:textId="1E76724E" w:rsidR="001911FE" w:rsidRPr="00CD53B9" w:rsidRDefault="001911FE" w:rsidP="001911FE">
            <w:pPr>
              <w:spacing w:before="0" w:after="0"/>
              <w:jc w:val="both"/>
              <w:rPr>
                <w:rFonts w:ascii="Times New Roman" w:hAnsi="Times New Roman"/>
                <w:sz w:val="22"/>
                <w:szCs w:val="22"/>
                <w:lang w:val="en-US"/>
              </w:rPr>
            </w:pPr>
            <w:r>
              <w:rPr>
                <w:rFonts w:ascii="Times New Roman" w:hAnsi="Times New Roman"/>
                <w:sz w:val="22"/>
                <w:szCs w:val="22"/>
                <w:lang w:val="en-US"/>
              </w:rPr>
              <w:t>Republic of Serbia</w:t>
            </w:r>
          </w:p>
        </w:tc>
        <w:bookmarkStart w:id="3" w:name="_GoBack"/>
        <w:bookmarkEnd w:id="3"/>
      </w:tr>
      <w:tr w:rsidR="001911FE" w14:paraId="2B84A268" w14:textId="77777777" w:rsidTr="003B452C">
        <w:trPr>
          <w:trHeight w:val="88"/>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5209FF65" w14:textId="77777777" w:rsidR="001911FE" w:rsidRDefault="001911FE" w:rsidP="003B452C">
            <w:pPr>
              <w:jc w:val="both"/>
              <w:rPr>
                <w:rFonts w:ascii="Times New Roman" w:hAnsi="Times New Roman"/>
                <w:b/>
                <w:sz w:val="22"/>
                <w:szCs w:val="22"/>
              </w:rPr>
            </w:pPr>
            <w:r>
              <w:rPr>
                <w:rFonts w:ascii="Times New Roman" w:hAnsi="Times New Roman"/>
                <w:b/>
                <w:sz w:val="22"/>
                <w:szCs w:val="22"/>
              </w:rPr>
              <w:t>Telephone:</w:t>
            </w:r>
          </w:p>
        </w:tc>
        <w:tc>
          <w:tcPr>
            <w:tcW w:w="5414" w:type="dxa"/>
            <w:tcBorders>
              <w:top w:val="single" w:sz="4" w:space="0" w:color="auto"/>
              <w:left w:val="single" w:sz="4" w:space="0" w:color="auto"/>
              <w:bottom w:val="single" w:sz="4" w:space="0" w:color="auto"/>
              <w:right w:val="single" w:sz="4" w:space="0" w:color="auto"/>
            </w:tcBorders>
          </w:tcPr>
          <w:p w14:paraId="6497B842" w14:textId="77777777" w:rsidR="001911FE" w:rsidRPr="00CD53B9" w:rsidRDefault="001911FE" w:rsidP="003B452C">
            <w:pPr>
              <w:rPr>
                <w:rFonts w:ascii="Times New Roman" w:hAnsi="Times New Roman"/>
                <w:sz w:val="22"/>
                <w:szCs w:val="22"/>
                <w:lang w:val="sr-Cyrl-RS"/>
              </w:rPr>
            </w:pPr>
          </w:p>
        </w:tc>
      </w:tr>
      <w:tr w:rsidR="001911FE" w14:paraId="362712BF" w14:textId="77777777" w:rsidTr="003B452C">
        <w:trPr>
          <w:trHeight w:val="91"/>
        </w:trPr>
        <w:tc>
          <w:tcPr>
            <w:tcW w:w="1674" w:type="dxa"/>
            <w:tcBorders>
              <w:top w:val="single" w:sz="4" w:space="0" w:color="auto"/>
              <w:left w:val="single" w:sz="4" w:space="0" w:color="auto"/>
              <w:bottom w:val="single" w:sz="4" w:space="0" w:color="auto"/>
              <w:right w:val="single" w:sz="4" w:space="0" w:color="auto"/>
            </w:tcBorders>
            <w:shd w:val="pct10" w:color="auto" w:fill="FFFFFF"/>
            <w:hideMark/>
          </w:tcPr>
          <w:p w14:paraId="1A572EE0" w14:textId="77777777" w:rsidR="001911FE" w:rsidRDefault="001911FE" w:rsidP="003B452C">
            <w:pPr>
              <w:jc w:val="both"/>
              <w:rPr>
                <w:rFonts w:ascii="Times New Roman" w:hAnsi="Times New Roman"/>
                <w:b/>
                <w:sz w:val="22"/>
                <w:szCs w:val="22"/>
              </w:rPr>
            </w:pPr>
            <w:r>
              <w:rPr>
                <w:rFonts w:ascii="Times New Roman" w:hAnsi="Times New Roman"/>
                <w:b/>
                <w:sz w:val="22"/>
                <w:szCs w:val="22"/>
              </w:rPr>
              <w:lastRenderedPageBreak/>
              <w:t>e-mail:</w:t>
            </w:r>
          </w:p>
        </w:tc>
        <w:tc>
          <w:tcPr>
            <w:tcW w:w="5414" w:type="dxa"/>
            <w:tcBorders>
              <w:top w:val="single" w:sz="4" w:space="0" w:color="auto"/>
              <w:left w:val="single" w:sz="4" w:space="0" w:color="auto"/>
              <w:bottom w:val="single" w:sz="4" w:space="0" w:color="auto"/>
              <w:right w:val="single" w:sz="4" w:space="0" w:color="auto"/>
            </w:tcBorders>
          </w:tcPr>
          <w:p w14:paraId="1DADF89B" w14:textId="77777777" w:rsidR="001911FE" w:rsidRPr="00CD53B9" w:rsidRDefault="001911FE" w:rsidP="003B452C">
            <w:pPr>
              <w:jc w:val="both"/>
              <w:rPr>
                <w:rFonts w:ascii="Times New Roman" w:hAnsi="Times New Roman"/>
                <w:sz w:val="22"/>
                <w:szCs w:val="22"/>
              </w:rPr>
            </w:pPr>
          </w:p>
        </w:tc>
      </w:tr>
    </w:tbl>
    <w:p w14:paraId="2361A8A0" w14:textId="77777777" w:rsidR="001911FE" w:rsidRDefault="001911FE" w:rsidP="001911FE">
      <w:pPr>
        <w:ind w:left="1080"/>
        <w:rPr>
          <w:rFonts w:ascii="Times New Roman" w:hAnsi="Times New Roman"/>
          <w:sz w:val="22"/>
          <w:szCs w:val="22"/>
          <w:highlight w:val="yellow"/>
        </w:rPr>
      </w:pPr>
    </w:p>
    <w:p w14:paraId="794DFE9C" w14:textId="3F13722A"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5D5BFB69" w:rsidR="0047783A" w:rsidRDefault="0047783A" w:rsidP="00B34179">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7C9D471C" w14:textId="77777777" w:rsidR="001911FE" w:rsidRDefault="001911FE" w:rsidP="001911FE">
      <w:pPr>
        <w:jc w:val="both"/>
        <w:rPr>
          <w:rFonts w:ascii="Times New Roman" w:hAnsi="Times New Roman"/>
          <w:sz w:val="22"/>
          <w:szCs w:val="22"/>
          <w:u w:val="single"/>
          <w:lang w:val="en-US"/>
        </w:rPr>
      </w:pPr>
      <w:r w:rsidRPr="0003280C">
        <w:rPr>
          <w:rFonts w:ascii="Times New Roman" w:hAnsi="Times New Roman"/>
          <w:sz w:val="22"/>
          <w:szCs w:val="22"/>
          <w:u w:val="single"/>
          <w:lang w:val="en-US"/>
        </w:rPr>
        <w:t>Any specific documents, other than those described in Article 11 of the Instruction to Tenderers, for submission by the Contractor to the Contracting Authority, are referred to in the Technical Specifications.</w:t>
      </w:r>
    </w:p>
    <w:p w14:paraId="38BE0192" w14:textId="77777777" w:rsidR="001911FE" w:rsidRDefault="001911FE" w:rsidP="001911FE">
      <w:pPr>
        <w:jc w:val="both"/>
        <w:rPr>
          <w:rFonts w:ascii="Times New Roman" w:hAnsi="Times New Roman"/>
          <w:sz w:val="22"/>
          <w:szCs w:val="22"/>
          <w:lang w:val="en-US"/>
        </w:rPr>
      </w:pPr>
      <w:r>
        <w:rPr>
          <w:rFonts w:ascii="Times New Roman" w:hAnsi="Times New Roman"/>
          <w:sz w:val="22"/>
          <w:szCs w:val="22"/>
          <w:lang w:val="en-US"/>
        </w:rPr>
        <w:t xml:space="preserve">In order to facilitate the processing of the documents handed to the </w:t>
      </w:r>
      <w:r w:rsidRPr="00C10BEF">
        <w:rPr>
          <w:rFonts w:ascii="Times New Roman" w:hAnsi="Times New Roman"/>
          <w:sz w:val="22"/>
          <w:szCs w:val="22"/>
          <w:lang w:val="en-US"/>
        </w:rPr>
        <w:t xml:space="preserve">Ministry of Finance, Department for Contracting and Financing of EU Funded </w:t>
      </w:r>
      <w:proofErr w:type="spellStart"/>
      <w:r w:rsidRPr="00C10BEF">
        <w:rPr>
          <w:rFonts w:ascii="Times New Roman" w:hAnsi="Times New Roman"/>
          <w:sz w:val="22"/>
          <w:szCs w:val="22"/>
          <w:lang w:val="en-US"/>
        </w:rPr>
        <w:t>Programmes</w:t>
      </w:r>
      <w:proofErr w:type="spellEnd"/>
      <w:r w:rsidRPr="00C10BEF">
        <w:rPr>
          <w:rFonts w:ascii="Times New Roman" w:hAnsi="Times New Roman"/>
          <w:sz w:val="22"/>
          <w:szCs w:val="22"/>
          <w:lang w:val="en-US"/>
        </w:rPr>
        <w:t xml:space="preserve"> (CFCU)</w:t>
      </w:r>
      <w:r>
        <w:rPr>
          <w:rFonts w:ascii="Times New Roman" w:hAnsi="Times New Roman"/>
          <w:sz w:val="22"/>
          <w:szCs w:val="22"/>
          <w:lang w:val="en-US"/>
        </w:rPr>
        <w:t xml:space="preserve">, the Contactor shall also submit </w:t>
      </w:r>
      <w:proofErr w:type="spellStart"/>
      <w:proofErr w:type="gramStart"/>
      <w:r>
        <w:rPr>
          <w:rFonts w:ascii="Times New Roman" w:hAnsi="Times New Roman"/>
          <w:sz w:val="22"/>
          <w:szCs w:val="22"/>
          <w:lang w:val="en-US"/>
        </w:rPr>
        <w:t>a</w:t>
      </w:r>
      <w:proofErr w:type="spellEnd"/>
      <w:proofErr w:type="gramEnd"/>
      <w:r>
        <w:rPr>
          <w:rFonts w:ascii="Times New Roman" w:hAnsi="Times New Roman"/>
          <w:sz w:val="22"/>
          <w:szCs w:val="22"/>
          <w:lang w:val="en-US"/>
        </w:rPr>
        <w:t xml:space="preserve"> electronic version of the documents. The electronic version shall be identical to the original (printed) version, however in case of any discrepancies between the electronic version and the original (printed version), the latter will prevail.</w:t>
      </w:r>
    </w:p>
    <w:p w14:paraId="6C4F1661" w14:textId="77777777" w:rsidR="001911FE" w:rsidRPr="003D6B6C" w:rsidRDefault="001911FE" w:rsidP="001911FE">
      <w:pPr>
        <w:spacing w:before="240"/>
        <w:jc w:val="both"/>
        <w:rPr>
          <w:rFonts w:ascii="Times New Roman" w:hAnsi="Times New Roman"/>
          <w:b/>
          <w:sz w:val="24"/>
          <w:szCs w:val="24"/>
        </w:rPr>
      </w:pPr>
      <w:r>
        <w:rPr>
          <w:rFonts w:ascii="Times New Roman" w:hAnsi="Times New Roman"/>
          <w:sz w:val="22"/>
          <w:szCs w:val="22"/>
          <w:lang w:val="en-US"/>
        </w:rPr>
        <w:t>The digital versions of the documents can be submitted on a CD, USB or sent to the e-mail address specified under Article 4.1. The name of the Contractor as well as the contract number and title should be clearly indicated in the e-mail subject or on the CD or USB.</w:t>
      </w:r>
    </w:p>
    <w:p w14:paraId="2CC8C237" w14:textId="77777777" w:rsidR="001911FE" w:rsidRPr="003D6B6C" w:rsidRDefault="001911FE" w:rsidP="00B34179">
      <w:pPr>
        <w:spacing w:before="240"/>
        <w:ind w:left="1134" w:hanging="1134"/>
        <w:jc w:val="both"/>
        <w:rPr>
          <w:rFonts w:ascii="Times New Roman" w:hAnsi="Times New Roman"/>
          <w:b/>
          <w:sz w:val="24"/>
          <w:szCs w:val="24"/>
        </w:rPr>
      </w:pPr>
    </w:p>
    <w:p w14:paraId="35062D7D" w14:textId="4F668CBE" w:rsidR="0047783A" w:rsidRDefault="0047783A" w:rsidP="00B34179">
      <w:pPr>
        <w:spacing w:before="240"/>
        <w:ind w:left="1134" w:hanging="1134"/>
        <w:jc w:val="both"/>
        <w:rPr>
          <w:rFonts w:ascii="Times New Roman" w:hAnsi="Times New Roman"/>
          <w:b/>
          <w:sz w:val="24"/>
          <w:szCs w:val="24"/>
        </w:rPr>
      </w:pPr>
      <w:bookmarkStart w:id="5"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5"/>
    </w:p>
    <w:p w14:paraId="3012DB3B" w14:textId="77777777" w:rsidR="001911FE" w:rsidRPr="00B82329" w:rsidRDefault="001911FE" w:rsidP="001911FE">
      <w:pPr>
        <w:jc w:val="both"/>
        <w:rPr>
          <w:rFonts w:ascii="Times New Roman" w:hAnsi="Times New Roman"/>
          <w:sz w:val="22"/>
          <w:szCs w:val="22"/>
        </w:rPr>
      </w:pPr>
      <w:r>
        <w:rPr>
          <w:rFonts w:ascii="Times New Roman" w:hAnsi="Times New Roman"/>
          <w:sz w:val="22"/>
          <w:szCs w:val="22"/>
        </w:rPr>
        <w:t xml:space="preserve">The Contractor shall </w:t>
      </w:r>
      <w:r w:rsidRPr="00A25810">
        <w:rPr>
          <w:rFonts w:ascii="Times New Roman" w:hAnsi="Times New Roman"/>
          <w:sz w:val="22"/>
          <w:szCs w:val="22"/>
        </w:rPr>
        <w:t>comply with all applicable national laws</w:t>
      </w:r>
      <w:r>
        <w:rPr>
          <w:rFonts w:ascii="Times New Roman" w:hAnsi="Times New Roman"/>
          <w:sz w:val="22"/>
          <w:szCs w:val="22"/>
        </w:rPr>
        <w:t xml:space="preserve"> during</w:t>
      </w:r>
      <w:r w:rsidRPr="00596B9A">
        <w:rPr>
          <w:rFonts w:ascii="Times New Roman" w:hAnsi="Times New Roman"/>
          <w:sz w:val="22"/>
          <w:szCs w:val="22"/>
        </w:rPr>
        <w:t xml:space="preserve"> </w:t>
      </w:r>
      <w:r>
        <w:rPr>
          <w:rFonts w:ascii="Times New Roman" w:hAnsi="Times New Roman"/>
          <w:sz w:val="22"/>
          <w:szCs w:val="22"/>
        </w:rPr>
        <w:t>performance of the Contract</w:t>
      </w:r>
      <w:r w:rsidRPr="00A25810">
        <w:rPr>
          <w:rFonts w:ascii="Times New Roman" w:hAnsi="Times New Roman"/>
          <w:sz w:val="22"/>
          <w:szCs w:val="22"/>
        </w:rPr>
        <w:t>.</w:t>
      </w:r>
    </w:p>
    <w:p w14:paraId="5E71327C" w14:textId="77777777" w:rsidR="001911FE" w:rsidRDefault="001911FE" w:rsidP="001911FE">
      <w:pPr>
        <w:jc w:val="both"/>
        <w:rPr>
          <w:rFonts w:ascii="Times New Roman" w:hAnsi="Times New Roman"/>
          <w:sz w:val="22"/>
          <w:szCs w:val="22"/>
        </w:rPr>
      </w:pPr>
      <w:r>
        <w:rPr>
          <w:rFonts w:ascii="Times New Roman" w:hAnsi="Times New Roman"/>
          <w:sz w:val="22"/>
          <w:szCs w:val="22"/>
        </w:rPr>
        <w:t>While the Contracting Authority agrees to use its contacts with the authorities where appropriate to assist the Contractor in obtaining the requisite permits or import licences, the prime and ultimate responsibility and the cost for obtaining of these permits and licences shall lie with the Contractor who shall keep the Contracting authority informed.</w:t>
      </w:r>
    </w:p>
    <w:p w14:paraId="37AAA6E6" w14:textId="5988F815" w:rsidR="001911FE" w:rsidRPr="003D6B6C" w:rsidRDefault="001911FE" w:rsidP="001911FE">
      <w:pPr>
        <w:spacing w:before="240"/>
        <w:jc w:val="both"/>
        <w:rPr>
          <w:rFonts w:ascii="Times New Roman" w:hAnsi="Times New Roman"/>
          <w:b/>
          <w:sz w:val="24"/>
          <w:szCs w:val="24"/>
        </w:rPr>
      </w:pPr>
      <w:r>
        <w:rPr>
          <w:rFonts w:ascii="Times New Roman" w:hAnsi="Times New Roman"/>
          <w:sz w:val="22"/>
          <w:szCs w:val="22"/>
        </w:rPr>
        <w:t xml:space="preserve">If the Contractor is late in applying for or fails to apply for such permits or </w:t>
      </w:r>
      <w:proofErr w:type="gramStart"/>
      <w:r>
        <w:rPr>
          <w:rFonts w:ascii="Times New Roman" w:hAnsi="Times New Roman"/>
          <w:sz w:val="22"/>
          <w:szCs w:val="22"/>
        </w:rPr>
        <w:t>licences</w:t>
      </w:r>
      <w:proofErr w:type="gramEnd"/>
      <w:r>
        <w:rPr>
          <w:rFonts w:ascii="Times New Roman" w:hAnsi="Times New Roman"/>
          <w:sz w:val="22"/>
          <w:szCs w:val="22"/>
        </w:rPr>
        <w:t xml:space="preserve"> then it may not claim for extensions in the Period of Implementation or additional costs as a result.</w:t>
      </w:r>
    </w:p>
    <w:p w14:paraId="2C323455" w14:textId="77777777" w:rsidR="001911FE" w:rsidRPr="003D6B6C" w:rsidRDefault="001911FE" w:rsidP="00B34179">
      <w:pPr>
        <w:spacing w:before="240"/>
        <w:ind w:left="1134" w:hanging="1134"/>
        <w:jc w:val="both"/>
        <w:rPr>
          <w:rFonts w:ascii="Times New Roman" w:hAnsi="Times New Roman"/>
          <w:b/>
          <w:sz w:val="24"/>
          <w:szCs w:val="24"/>
        </w:rPr>
      </w:pP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46C3D96B"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80768">
        <w:rPr>
          <w:rFonts w:ascii="Times New Roman" w:hAnsi="Times New Roman"/>
          <w:sz w:val="22"/>
          <w:szCs w:val="22"/>
        </w:rPr>
        <w:t>The Contractor is responsible for necessary measures to ensure the visibility of the European Union financing/co-financing</w:t>
      </w:r>
      <w:r w:rsidR="00780768" w:rsidRPr="00EE19E7">
        <w:rPr>
          <w:rFonts w:ascii="Times New Roman" w:hAnsi="Times New Roman"/>
          <w:sz w:val="22"/>
          <w:szCs w:val="22"/>
        </w:rPr>
        <w:t xml:space="preserve">. These activities must comply with the rules lay down in the Communication and </w:t>
      </w:r>
      <w:r w:rsidR="00780768" w:rsidRPr="00B14742">
        <w:rPr>
          <w:rFonts w:ascii="Times New Roman" w:hAnsi="Times New Roman"/>
          <w:sz w:val="22"/>
          <w:szCs w:val="22"/>
        </w:rPr>
        <w:t>Visibility Manual for EU External Actions published on the website of DG International Cooperation and</w:t>
      </w:r>
      <w:r w:rsidR="00780768">
        <w:rPr>
          <w:rFonts w:ascii="Times New Roman" w:hAnsi="Times New Roman"/>
          <w:b/>
          <w:sz w:val="22"/>
          <w:szCs w:val="22"/>
        </w:rPr>
        <w:t xml:space="preserve"> </w:t>
      </w:r>
      <w:hyperlink r:id="rId11" w:history="1">
        <w:r w:rsidR="00780768" w:rsidRPr="00AF7F07">
          <w:rPr>
            <w:rStyle w:val="Hyperlink"/>
            <w:rFonts w:ascii="Times New Roman" w:hAnsi="Times New Roman"/>
            <w:sz w:val="22"/>
            <w:szCs w:val="22"/>
          </w:rPr>
          <w:t>https://ec.europa.eu/europeaid/funding/communication-and-visibility-manual-eu-external-actions_en</w:t>
        </w:r>
      </w:hyperlink>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6"/>
    </w:p>
    <w:p w14:paraId="04B63533" w14:textId="4175E97D" w:rsidR="008B230C" w:rsidRDefault="0047783A" w:rsidP="00780768">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proofErr w:type="spellStart"/>
      <w:r w:rsidR="00780768" w:rsidRPr="001524BC">
        <w:rPr>
          <w:rFonts w:ascii="Times New Roman" w:hAnsi="Times New Roman"/>
          <w:sz w:val="22"/>
          <w:szCs w:val="22"/>
        </w:rPr>
        <w:t>Derogation</w:t>
      </w:r>
      <w:proofErr w:type="spellEnd"/>
      <w:r w:rsidR="00780768" w:rsidRPr="001524BC">
        <w:rPr>
          <w:rFonts w:ascii="Times New Roman" w:hAnsi="Times New Roman"/>
          <w:sz w:val="22"/>
          <w:szCs w:val="22"/>
        </w:rPr>
        <w:t xml:space="preserve"> to the </w:t>
      </w:r>
      <w:proofErr w:type="spellStart"/>
      <w:r w:rsidR="00780768" w:rsidRPr="001524BC">
        <w:rPr>
          <w:rFonts w:ascii="Times New Roman" w:hAnsi="Times New Roman"/>
          <w:sz w:val="22"/>
          <w:szCs w:val="22"/>
        </w:rPr>
        <w:t>rule</w:t>
      </w:r>
      <w:proofErr w:type="spellEnd"/>
      <w:r w:rsidR="00780768" w:rsidRPr="001524BC">
        <w:rPr>
          <w:rFonts w:ascii="Times New Roman" w:hAnsi="Times New Roman"/>
          <w:sz w:val="22"/>
          <w:szCs w:val="22"/>
        </w:rPr>
        <w:t xml:space="preserve"> of </w:t>
      </w:r>
      <w:proofErr w:type="spellStart"/>
      <w:r w:rsidR="00780768" w:rsidRPr="001524BC">
        <w:rPr>
          <w:rFonts w:ascii="Times New Roman" w:hAnsi="Times New Roman"/>
          <w:sz w:val="22"/>
          <w:szCs w:val="22"/>
        </w:rPr>
        <w:t>origin</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is</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granted</w:t>
      </w:r>
      <w:proofErr w:type="spellEnd"/>
      <w:r w:rsidR="00780768" w:rsidRPr="001524BC">
        <w:rPr>
          <w:rFonts w:ascii="Times New Roman" w:hAnsi="Times New Roman"/>
          <w:sz w:val="22"/>
          <w:szCs w:val="22"/>
        </w:rPr>
        <w:t xml:space="preserve"> in respect t</w:t>
      </w:r>
      <w:r w:rsidR="00780768">
        <w:rPr>
          <w:rFonts w:ascii="Times New Roman" w:hAnsi="Times New Roman"/>
          <w:sz w:val="22"/>
          <w:szCs w:val="22"/>
        </w:rPr>
        <w:t xml:space="preserve">o the </w:t>
      </w:r>
      <w:proofErr w:type="spellStart"/>
      <w:r w:rsidR="00780768">
        <w:rPr>
          <w:rFonts w:ascii="Times New Roman" w:hAnsi="Times New Roman"/>
          <w:sz w:val="22"/>
          <w:szCs w:val="22"/>
        </w:rPr>
        <w:t>equipment</w:t>
      </w:r>
      <w:proofErr w:type="spellEnd"/>
      <w:r w:rsidR="00780768">
        <w:rPr>
          <w:rFonts w:ascii="Times New Roman" w:hAnsi="Times New Roman"/>
          <w:sz w:val="22"/>
          <w:szCs w:val="22"/>
        </w:rPr>
        <w:t xml:space="preserve"> (</w:t>
      </w:r>
      <w:proofErr w:type="gramStart"/>
      <w:r w:rsidR="00780768" w:rsidRPr="00780768">
        <w:rPr>
          <w:rFonts w:ascii="Times New Roman" w:hAnsi="Times New Roman"/>
          <w:b/>
          <w:sz w:val="22"/>
          <w:szCs w:val="22"/>
        </w:rPr>
        <w:t>Items :</w:t>
      </w:r>
      <w:proofErr w:type="gramEnd"/>
      <w:r w:rsidR="00780768" w:rsidRPr="00780768">
        <w:rPr>
          <w:rFonts w:ascii="Times New Roman" w:hAnsi="Times New Roman"/>
          <w:b/>
          <w:sz w:val="22"/>
          <w:szCs w:val="22"/>
        </w:rPr>
        <w:t xml:space="preserve"> 1.1, 1.2, 1.16, 1.19, 1.20)</w:t>
      </w:r>
      <w:r w:rsidR="00780768" w:rsidRPr="00780768">
        <w:rPr>
          <w:rFonts w:ascii="Times New Roman" w:hAnsi="Times New Roman"/>
          <w:sz w:val="22"/>
          <w:szCs w:val="22"/>
        </w:rPr>
        <w:t xml:space="preserve"> </w:t>
      </w:r>
      <w:proofErr w:type="spellStart"/>
      <w:r w:rsidR="00780768">
        <w:rPr>
          <w:rFonts w:ascii="Times New Roman" w:hAnsi="Times New Roman"/>
          <w:sz w:val="22"/>
          <w:szCs w:val="22"/>
        </w:rPr>
        <w:t>within</w:t>
      </w:r>
      <w:proofErr w:type="spellEnd"/>
      <w:r w:rsidR="00780768">
        <w:rPr>
          <w:rFonts w:ascii="Times New Roman" w:hAnsi="Times New Roman"/>
          <w:sz w:val="22"/>
          <w:szCs w:val="22"/>
        </w:rPr>
        <w:t xml:space="preserve"> </w:t>
      </w:r>
      <w:proofErr w:type="spellStart"/>
      <w:r w:rsidR="00780768">
        <w:rPr>
          <w:rFonts w:ascii="Times New Roman" w:hAnsi="Times New Roman"/>
          <w:sz w:val="22"/>
          <w:szCs w:val="22"/>
        </w:rPr>
        <w:t>this</w:t>
      </w:r>
      <w:proofErr w:type="spellEnd"/>
      <w:r w:rsidR="00780768">
        <w:rPr>
          <w:rFonts w:ascii="Times New Roman" w:hAnsi="Times New Roman"/>
          <w:sz w:val="22"/>
          <w:szCs w:val="22"/>
        </w:rPr>
        <w:t xml:space="preserve"> </w:t>
      </w:r>
      <w:proofErr w:type="spellStart"/>
      <w:r w:rsidR="00780768">
        <w:rPr>
          <w:rFonts w:ascii="Times New Roman" w:hAnsi="Times New Roman"/>
          <w:sz w:val="22"/>
          <w:szCs w:val="22"/>
        </w:rPr>
        <w:t>contract</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These</w:t>
      </w:r>
      <w:proofErr w:type="spellEnd"/>
      <w:r w:rsidR="00780768" w:rsidRPr="001524BC">
        <w:rPr>
          <w:rFonts w:ascii="Times New Roman" w:hAnsi="Times New Roman"/>
          <w:sz w:val="22"/>
          <w:szCs w:val="22"/>
        </w:rPr>
        <w:t xml:space="preserve"> supplies </w:t>
      </w:r>
      <w:proofErr w:type="spellStart"/>
      <w:r w:rsidR="00780768" w:rsidRPr="001524BC">
        <w:rPr>
          <w:rFonts w:ascii="Times New Roman" w:hAnsi="Times New Roman"/>
          <w:sz w:val="22"/>
          <w:szCs w:val="22"/>
        </w:rPr>
        <w:t>may</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originate</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from</w:t>
      </w:r>
      <w:proofErr w:type="spellEnd"/>
      <w:r w:rsidR="00780768" w:rsidRPr="001524BC">
        <w:rPr>
          <w:rFonts w:ascii="Times New Roman" w:hAnsi="Times New Roman"/>
          <w:sz w:val="22"/>
          <w:szCs w:val="22"/>
        </w:rPr>
        <w:t xml:space="preserve"> countries </w:t>
      </w:r>
      <w:proofErr w:type="spellStart"/>
      <w:r w:rsidR="00780768" w:rsidRPr="001524BC">
        <w:rPr>
          <w:rFonts w:ascii="Times New Roman" w:hAnsi="Times New Roman"/>
          <w:sz w:val="22"/>
          <w:szCs w:val="22"/>
        </w:rPr>
        <w:t>other</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than</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Member</w:t>
      </w:r>
      <w:proofErr w:type="spellEnd"/>
      <w:r w:rsidR="00780768" w:rsidRPr="001524BC">
        <w:rPr>
          <w:rFonts w:ascii="Times New Roman" w:hAnsi="Times New Roman"/>
          <w:sz w:val="22"/>
          <w:szCs w:val="22"/>
        </w:rPr>
        <w:t xml:space="preserve"> States of the </w:t>
      </w:r>
      <w:proofErr w:type="spellStart"/>
      <w:r w:rsidR="00780768" w:rsidRPr="001524BC">
        <w:rPr>
          <w:rFonts w:ascii="Times New Roman" w:hAnsi="Times New Roman"/>
          <w:sz w:val="22"/>
          <w:szCs w:val="22"/>
        </w:rPr>
        <w:t>European</w:t>
      </w:r>
      <w:proofErr w:type="spellEnd"/>
      <w:r w:rsidR="00780768" w:rsidRPr="001524BC">
        <w:rPr>
          <w:rFonts w:ascii="Times New Roman" w:hAnsi="Times New Roman"/>
          <w:sz w:val="22"/>
          <w:szCs w:val="22"/>
        </w:rPr>
        <w:t xml:space="preserve"> Union or countries or </w:t>
      </w:r>
      <w:proofErr w:type="spellStart"/>
      <w:r w:rsidR="00780768" w:rsidRPr="001524BC">
        <w:rPr>
          <w:rFonts w:ascii="Times New Roman" w:hAnsi="Times New Roman"/>
          <w:sz w:val="22"/>
          <w:szCs w:val="22"/>
        </w:rPr>
        <w:t>territories</w:t>
      </w:r>
      <w:proofErr w:type="spellEnd"/>
      <w:r w:rsidR="00780768" w:rsidRPr="001524BC">
        <w:rPr>
          <w:rFonts w:ascii="Times New Roman" w:hAnsi="Times New Roman"/>
          <w:sz w:val="22"/>
          <w:szCs w:val="22"/>
        </w:rPr>
        <w:t xml:space="preserve"> of the </w:t>
      </w:r>
      <w:proofErr w:type="spellStart"/>
      <w:r w:rsidR="00780768" w:rsidRPr="001524BC">
        <w:rPr>
          <w:rFonts w:ascii="Times New Roman" w:hAnsi="Times New Roman"/>
          <w:sz w:val="22"/>
          <w:szCs w:val="22"/>
        </w:rPr>
        <w:t>regions</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covered</w:t>
      </w:r>
      <w:proofErr w:type="spellEnd"/>
      <w:r w:rsidR="00780768" w:rsidRPr="001524BC">
        <w:rPr>
          <w:rFonts w:ascii="Times New Roman" w:hAnsi="Times New Roman"/>
          <w:sz w:val="22"/>
          <w:szCs w:val="22"/>
        </w:rPr>
        <w:t xml:space="preserve"> and/or </w:t>
      </w:r>
      <w:proofErr w:type="spellStart"/>
      <w:r w:rsidR="00780768" w:rsidRPr="001524BC">
        <w:rPr>
          <w:rFonts w:ascii="Times New Roman" w:hAnsi="Times New Roman"/>
          <w:sz w:val="22"/>
          <w:szCs w:val="22"/>
        </w:rPr>
        <w:t>authorised</w:t>
      </w:r>
      <w:proofErr w:type="spellEnd"/>
      <w:r w:rsidR="00780768" w:rsidRPr="001524BC">
        <w:rPr>
          <w:rFonts w:ascii="Times New Roman" w:hAnsi="Times New Roman"/>
          <w:sz w:val="22"/>
          <w:szCs w:val="22"/>
        </w:rPr>
        <w:t xml:space="preserve"> by the </w:t>
      </w:r>
      <w:proofErr w:type="spellStart"/>
      <w:r w:rsidR="00780768" w:rsidRPr="001524BC">
        <w:rPr>
          <w:rFonts w:ascii="Times New Roman" w:hAnsi="Times New Roman"/>
          <w:sz w:val="22"/>
          <w:szCs w:val="22"/>
        </w:rPr>
        <w:t>specific</w:t>
      </w:r>
      <w:proofErr w:type="spellEnd"/>
      <w:r w:rsidR="00780768" w:rsidRPr="001524BC">
        <w:rPr>
          <w:rFonts w:ascii="Times New Roman" w:hAnsi="Times New Roman"/>
          <w:sz w:val="22"/>
          <w:szCs w:val="22"/>
        </w:rPr>
        <w:t xml:space="preserve"> instruments applicable to the programme </w:t>
      </w:r>
      <w:proofErr w:type="spellStart"/>
      <w:r w:rsidR="00780768" w:rsidRPr="001524BC">
        <w:rPr>
          <w:rFonts w:ascii="Times New Roman" w:hAnsi="Times New Roman"/>
          <w:sz w:val="22"/>
          <w:szCs w:val="22"/>
        </w:rPr>
        <w:t>under</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which</w:t>
      </w:r>
      <w:proofErr w:type="spellEnd"/>
      <w:r w:rsidR="00780768" w:rsidRPr="001524BC">
        <w:rPr>
          <w:rFonts w:ascii="Times New Roman" w:hAnsi="Times New Roman"/>
          <w:sz w:val="22"/>
          <w:szCs w:val="22"/>
        </w:rPr>
        <w:t xml:space="preserve"> the </w:t>
      </w:r>
      <w:proofErr w:type="spellStart"/>
      <w:r w:rsidR="00780768" w:rsidRPr="001524BC">
        <w:rPr>
          <w:rFonts w:ascii="Times New Roman" w:hAnsi="Times New Roman"/>
          <w:sz w:val="22"/>
          <w:szCs w:val="22"/>
        </w:rPr>
        <w:t>contract</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is</w:t>
      </w:r>
      <w:proofErr w:type="spellEnd"/>
      <w:r w:rsidR="00780768" w:rsidRPr="001524BC">
        <w:rPr>
          <w:rFonts w:ascii="Times New Roman" w:hAnsi="Times New Roman"/>
          <w:sz w:val="22"/>
          <w:szCs w:val="22"/>
        </w:rPr>
        <w:t xml:space="preserve"> </w:t>
      </w:r>
      <w:proofErr w:type="spellStart"/>
      <w:r w:rsidR="00780768" w:rsidRPr="001524BC">
        <w:rPr>
          <w:rFonts w:ascii="Times New Roman" w:hAnsi="Times New Roman"/>
          <w:sz w:val="22"/>
          <w:szCs w:val="22"/>
        </w:rPr>
        <w:t>financed</w:t>
      </w:r>
      <w:proofErr w:type="spellEnd"/>
      <w:r w:rsidR="00780768" w:rsidRPr="001524BC">
        <w:rPr>
          <w:rFonts w:ascii="Times New Roman" w:hAnsi="Times New Roman"/>
          <w:sz w:val="22"/>
          <w:szCs w:val="22"/>
        </w:rPr>
        <w:t xml:space="preserve"> (IPA II).</w:t>
      </w:r>
    </w:p>
    <w:p w14:paraId="638B408B" w14:textId="4772B96A" w:rsidR="00D75785" w:rsidRPr="00D75785" w:rsidRDefault="00D75785" w:rsidP="00D75785">
      <w:pPr>
        <w:ind w:left="1170"/>
        <w:jc w:val="both"/>
        <w:rPr>
          <w:rFonts w:ascii="Times New Roman" w:hAnsi="Times New Roman"/>
          <w:sz w:val="22"/>
          <w:szCs w:val="22"/>
          <w:lang w:val="fr-BE"/>
        </w:rPr>
      </w:pPr>
      <w:r>
        <w:rPr>
          <w:rFonts w:ascii="Times New Roman" w:hAnsi="Times New Roman"/>
          <w:sz w:val="22"/>
          <w:szCs w:val="22"/>
          <w:lang w:val="fr-BE"/>
        </w:rPr>
        <w:t xml:space="preserve">All </w:t>
      </w:r>
      <w:proofErr w:type="spellStart"/>
      <w:r>
        <w:rPr>
          <w:rFonts w:ascii="Times New Roman" w:hAnsi="Times New Roman"/>
          <w:sz w:val="22"/>
          <w:szCs w:val="22"/>
          <w:lang w:val="fr-BE"/>
        </w:rPr>
        <w:t>other</w:t>
      </w:r>
      <w:proofErr w:type="spellEnd"/>
      <w:r>
        <w:rPr>
          <w:rFonts w:ascii="Times New Roman" w:hAnsi="Times New Roman"/>
          <w:sz w:val="22"/>
          <w:szCs w:val="22"/>
          <w:lang w:val="fr-BE"/>
        </w:rPr>
        <w:t xml:space="preserve"> supplies </w:t>
      </w:r>
      <w:proofErr w:type="spellStart"/>
      <w:r w:rsidRPr="00D75785">
        <w:rPr>
          <w:rFonts w:ascii="Times New Roman" w:hAnsi="Times New Roman"/>
          <w:sz w:val="22"/>
          <w:szCs w:val="22"/>
          <w:lang w:val="fr-BE"/>
        </w:rPr>
        <w:t>purchased</w:t>
      </w:r>
      <w:proofErr w:type="spellEnd"/>
      <w:r>
        <w:rPr>
          <w:rFonts w:ascii="Times New Roman" w:hAnsi="Times New Roman"/>
          <w:sz w:val="22"/>
          <w:szCs w:val="22"/>
          <w:lang w:val="fr-BE"/>
        </w:rPr>
        <w:t xml:space="preserve"> </w:t>
      </w:r>
      <w:proofErr w:type="spellStart"/>
      <w:r>
        <w:rPr>
          <w:rFonts w:ascii="Times New Roman" w:hAnsi="Times New Roman"/>
          <w:sz w:val="22"/>
          <w:szCs w:val="22"/>
          <w:lang w:val="fr-BE"/>
        </w:rPr>
        <w:t>under</w:t>
      </w:r>
      <w:proofErr w:type="spellEnd"/>
      <w:r>
        <w:rPr>
          <w:rFonts w:ascii="Times New Roman" w:hAnsi="Times New Roman"/>
          <w:sz w:val="22"/>
          <w:szCs w:val="22"/>
          <w:lang w:val="fr-BE"/>
        </w:rPr>
        <w:t xml:space="preserve"> </w:t>
      </w:r>
      <w:proofErr w:type="spellStart"/>
      <w:r>
        <w:rPr>
          <w:rFonts w:ascii="Times New Roman" w:hAnsi="Times New Roman"/>
          <w:sz w:val="22"/>
          <w:szCs w:val="22"/>
          <w:lang w:val="fr-BE"/>
        </w:rPr>
        <w:t>this</w:t>
      </w:r>
      <w:proofErr w:type="spellEnd"/>
      <w:r>
        <w:rPr>
          <w:rFonts w:ascii="Times New Roman" w:hAnsi="Times New Roman"/>
          <w:sz w:val="22"/>
          <w:szCs w:val="22"/>
          <w:lang w:val="fr-BE"/>
        </w:rPr>
        <w:t xml:space="preserve"> </w:t>
      </w:r>
      <w:proofErr w:type="spellStart"/>
      <w:r>
        <w:rPr>
          <w:rFonts w:ascii="Times New Roman" w:hAnsi="Times New Roman"/>
          <w:sz w:val="22"/>
          <w:szCs w:val="22"/>
          <w:lang w:val="fr-BE"/>
        </w:rPr>
        <w:t>contract</w:t>
      </w:r>
      <w:proofErr w:type="spellEnd"/>
      <w:r w:rsidRPr="00D75785">
        <w:rPr>
          <w:rFonts w:ascii="Times New Roman" w:hAnsi="Times New Roman"/>
          <w:sz w:val="22"/>
          <w:szCs w:val="22"/>
          <w:lang w:val="fr-BE"/>
        </w:rPr>
        <w:t xml:space="preserve"> must </w:t>
      </w:r>
      <w:proofErr w:type="spellStart"/>
      <w:r w:rsidRPr="00D75785">
        <w:rPr>
          <w:rFonts w:ascii="Times New Roman" w:hAnsi="Times New Roman"/>
          <w:sz w:val="22"/>
          <w:szCs w:val="22"/>
          <w:lang w:val="fr-BE"/>
        </w:rPr>
        <w:t>originate</w:t>
      </w:r>
      <w:proofErr w:type="spellEnd"/>
      <w:r w:rsidRPr="00D75785">
        <w:rPr>
          <w:rFonts w:ascii="Times New Roman" w:hAnsi="Times New Roman"/>
          <w:sz w:val="22"/>
          <w:szCs w:val="22"/>
          <w:lang w:val="fr-BE"/>
        </w:rPr>
        <w:t xml:space="preserve"> in an </w:t>
      </w:r>
      <w:proofErr w:type="spellStart"/>
      <w:r w:rsidRPr="00D75785">
        <w:rPr>
          <w:rFonts w:ascii="Times New Roman" w:hAnsi="Times New Roman"/>
          <w:sz w:val="22"/>
          <w:szCs w:val="22"/>
          <w:lang w:val="fr-BE"/>
        </w:rPr>
        <w:t>eligible</w:t>
      </w:r>
      <w:proofErr w:type="spellEnd"/>
      <w:r w:rsidRPr="00D75785">
        <w:rPr>
          <w:rFonts w:ascii="Times New Roman" w:hAnsi="Times New Roman"/>
          <w:sz w:val="22"/>
          <w:szCs w:val="22"/>
          <w:lang w:val="fr-BE"/>
        </w:rPr>
        <w:t xml:space="preserve"> source country (</w:t>
      </w:r>
      <w:proofErr w:type="spellStart"/>
      <w:r w:rsidRPr="00D75785">
        <w:rPr>
          <w:rFonts w:ascii="Times New Roman" w:hAnsi="Times New Roman"/>
          <w:sz w:val="22"/>
          <w:szCs w:val="22"/>
          <w:lang w:val="fr-BE"/>
        </w:rPr>
        <w:t>Member</w:t>
      </w:r>
      <w:proofErr w:type="spellEnd"/>
      <w:r w:rsidRPr="00D75785">
        <w:rPr>
          <w:rFonts w:ascii="Times New Roman" w:hAnsi="Times New Roman"/>
          <w:sz w:val="22"/>
          <w:szCs w:val="22"/>
          <w:lang w:val="fr-BE"/>
        </w:rPr>
        <w:t xml:space="preserve"> State of the </w:t>
      </w:r>
      <w:proofErr w:type="spellStart"/>
      <w:r w:rsidRPr="00D75785">
        <w:rPr>
          <w:rFonts w:ascii="Times New Roman" w:hAnsi="Times New Roman"/>
          <w:sz w:val="22"/>
          <w:szCs w:val="22"/>
          <w:lang w:val="fr-BE"/>
        </w:rPr>
        <w:t>European</w:t>
      </w:r>
      <w:proofErr w:type="spellEnd"/>
      <w:r w:rsidRPr="00D75785">
        <w:rPr>
          <w:rFonts w:ascii="Times New Roman" w:hAnsi="Times New Roman"/>
          <w:sz w:val="22"/>
          <w:szCs w:val="22"/>
          <w:lang w:val="fr-BE"/>
        </w:rPr>
        <w:t xml:space="preserve"> Union or a country </w:t>
      </w:r>
      <w:proofErr w:type="spellStart"/>
      <w:r w:rsidRPr="00D75785">
        <w:rPr>
          <w:rFonts w:ascii="Times New Roman" w:hAnsi="Times New Roman"/>
          <w:sz w:val="22"/>
          <w:szCs w:val="22"/>
          <w:lang w:val="fr-BE"/>
        </w:rPr>
        <w:t>covered</w:t>
      </w:r>
      <w:proofErr w:type="spellEnd"/>
      <w:r w:rsidRPr="00D75785">
        <w:rPr>
          <w:rFonts w:ascii="Times New Roman" w:hAnsi="Times New Roman"/>
          <w:sz w:val="22"/>
          <w:szCs w:val="22"/>
          <w:lang w:val="fr-BE"/>
        </w:rPr>
        <w:t xml:space="preserve"> by the IPA II programme). For </w:t>
      </w:r>
      <w:proofErr w:type="spellStart"/>
      <w:r w:rsidRPr="00D75785">
        <w:rPr>
          <w:rFonts w:ascii="Times New Roman" w:hAnsi="Times New Roman"/>
          <w:sz w:val="22"/>
          <w:szCs w:val="22"/>
          <w:lang w:val="fr-BE"/>
        </w:rPr>
        <w:t>these</w:t>
      </w:r>
      <w:proofErr w:type="spellEnd"/>
      <w:r w:rsidRPr="00D75785">
        <w:rPr>
          <w:rFonts w:ascii="Times New Roman" w:hAnsi="Times New Roman"/>
          <w:sz w:val="22"/>
          <w:szCs w:val="22"/>
          <w:lang w:val="fr-BE"/>
        </w:rPr>
        <w:t xml:space="preserve"> </w:t>
      </w:r>
      <w:proofErr w:type="spellStart"/>
      <w:r w:rsidRPr="00D75785">
        <w:rPr>
          <w:rFonts w:ascii="Times New Roman" w:hAnsi="Times New Roman"/>
          <w:sz w:val="22"/>
          <w:szCs w:val="22"/>
          <w:lang w:val="fr-BE"/>
        </w:rPr>
        <w:t>purposes</w:t>
      </w:r>
      <w:proofErr w:type="spellEnd"/>
      <w:r w:rsidRPr="00D75785">
        <w:rPr>
          <w:rFonts w:ascii="Times New Roman" w:hAnsi="Times New Roman"/>
          <w:sz w:val="22"/>
          <w:szCs w:val="22"/>
          <w:lang w:val="fr-BE"/>
        </w:rPr>
        <w:t>, ‘</w:t>
      </w:r>
      <w:proofErr w:type="spellStart"/>
      <w:r w:rsidRPr="00D75785">
        <w:rPr>
          <w:rFonts w:ascii="Times New Roman" w:hAnsi="Times New Roman"/>
          <w:sz w:val="22"/>
          <w:szCs w:val="22"/>
          <w:lang w:val="fr-BE"/>
        </w:rPr>
        <w:t>origin</w:t>
      </w:r>
      <w:proofErr w:type="spellEnd"/>
      <w:r w:rsidRPr="00D75785">
        <w:rPr>
          <w:rFonts w:ascii="Times New Roman" w:hAnsi="Times New Roman"/>
          <w:sz w:val="22"/>
          <w:szCs w:val="22"/>
          <w:lang w:val="fr-BE"/>
        </w:rPr>
        <w:t xml:space="preserve">’ </w:t>
      </w:r>
      <w:proofErr w:type="spellStart"/>
      <w:r w:rsidRPr="00D75785">
        <w:rPr>
          <w:rFonts w:ascii="Times New Roman" w:hAnsi="Times New Roman"/>
          <w:sz w:val="22"/>
          <w:szCs w:val="22"/>
          <w:lang w:val="fr-BE"/>
        </w:rPr>
        <w:t>means</w:t>
      </w:r>
      <w:proofErr w:type="spellEnd"/>
      <w:r w:rsidRPr="00D75785">
        <w:rPr>
          <w:rFonts w:ascii="Times New Roman" w:hAnsi="Times New Roman"/>
          <w:sz w:val="22"/>
          <w:szCs w:val="22"/>
          <w:lang w:val="fr-BE"/>
        </w:rPr>
        <w:t xml:space="preserve"> the place </w:t>
      </w:r>
      <w:proofErr w:type="spellStart"/>
      <w:r w:rsidRPr="00D75785">
        <w:rPr>
          <w:rFonts w:ascii="Times New Roman" w:hAnsi="Times New Roman"/>
          <w:sz w:val="22"/>
          <w:szCs w:val="22"/>
          <w:lang w:val="fr-BE"/>
        </w:rPr>
        <w:t>where</w:t>
      </w:r>
      <w:proofErr w:type="spellEnd"/>
      <w:r w:rsidRPr="00D75785">
        <w:rPr>
          <w:rFonts w:ascii="Times New Roman" w:hAnsi="Times New Roman"/>
          <w:sz w:val="22"/>
          <w:szCs w:val="22"/>
          <w:lang w:val="fr-BE"/>
        </w:rPr>
        <w:t xml:space="preserve"> the </w:t>
      </w:r>
      <w:proofErr w:type="spellStart"/>
      <w:r w:rsidRPr="00D75785">
        <w:rPr>
          <w:rFonts w:ascii="Times New Roman" w:hAnsi="Times New Roman"/>
          <w:sz w:val="22"/>
          <w:szCs w:val="22"/>
          <w:lang w:val="fr-BE"/>
        </w:rPr>
        <w:t>goods</w:t>
      </w:r>
      <w:proofErr w:type="spellEnd"/>
      <w:r w:rsidRPr="00D75785">
        <w:rPr>
          <w:rFonts w:ascii="Times New Roman" w:hAnsi="Times New Roman"/>
          <w:sz w:val="22"/>
          <w:szCs w:val="22"/>
          <w:lang w:val="fr-BE"/>
        </w:rPr>
        <w:t xml:space="preserve"> are </w:t>
      </w:r>
      <w:proofErr w:type="spellStart"/>
      <w:r w:rsidRPr="00D75785">
        <w:rPr>
          <w:rFonts w:ascii="Times New Roman" w:hAnsi="Times New Roman"/>
          <w:sz w:val="22"/>
          <w:szCs w:val="22"/>
          <w:lang w:val="fr-BE"/>
        </w:rPr>
        <w:t>mined</w:t>
      </w:r>
      <w:proofErr w:type="spellEnd"/>
      <w:r w:rsidRPr="00D75785">
        <w:rPr>
          <w:rFonts w:ascii="Times New Roman" w:hAnsi="Times New Roman"/>
          <w:sz w:val="22"/>
          <w:szCs w:val="22"/>
          <w:lang w:val="fr-BE"/>
        </w:rPr>
        <w:t xml:space="preserve">, </w:t>
      </w:r>
      <w:proofErr w:type="spellStart"/>
      <w:r w:rsidRPr="00D75785">
        <w:rPr>
          <w:rFonts w:ascii="Times New Roman" w:hAnsi="Times New Roman"/>
          <w:sz w:val="22"/>
          <w:szCs w:val="22"/>
          <w:lang w:val="fr-BE"/>
        </w:rPr>
        <w:t>grown</w:t>
      </w:r>
      <w:proofErr w:type="spellEnd"/>
      <w:r w:rsidRPr="00D75785">
        <w:rPr>
          <w:rFonts w:ascii="Times New Roman" w:hAnsi="Times New Roman"/>
          <w:sz w:val="22"/>
          <w:szCs w:val="22"/>
          <w:lang w:val="fr-BE"/>
        </w:rPr>
        <w:t xml:space="preserve">, </w:t>
      </w:r>
      <w:proofErr w:type="spellStart"/>
      <w:r w:rsidRPr="00D75785">
        <w:rPr>
          <w:rFonts w:ascii="Times New Roman" w:hAnsi="Times New Roman"/>
          <w:sz w:val="22"/>
          <w:szCs w:val="22"/>
          <w:lang w:val="fr-BE"/>
        </w:rPr>
        <w:t>produced</w:t>
      </w:r>
      <w:proofErr w:type="spellEnd"/>
      <w:r w:rsidRPr="00D75785">
        <w:rPr>
          <w:rFonts w:ascii="Times New Roman" w:hAnsi="Times New Roman"/>
          <w:sz w:val="22"/>
          <w:szCs w:val="22"/>
          <w:lang w:val="fr-BE"/>
        </w:rPr>
        <w:t xml:space="preserve"> or </w:t>
      </w:r>
      <w:proofErr w:type="spellStart"/>
      <w:r w:rsidRPr="00D75785">
        <w:rPr>
          <w:rFonts w:ascii="Times New Roman" w:hAnsi="Times New Roman"/>
          <w:sz w:val="22"/>
          <w:szCs w:val="22"/>
          <w:lang w:val="fr-BE"/>
        </w:rPr>
        <w:t>manufactured</w:t>
      </w:r>
      <w:proofErr w:type="spellEnd"/>
      <w:r w:rsidRPr="00D75785">
        <w:rPr>
          <w:rFonts w:ascii="Times New Roman" w:hAnsi="Times New Roman"/>
          <w:sz w:val="22"/>
          <w:szCs w:val="22"/>
          <w:lang w:val="fr-BE"/>
        </w:rPr>
        <w:t xml:space="preserve">. The </w:t>
      </w:r>
      <w:proofErr w:type="spellStart"/>
      <w:r w:rsidRPr="00D75785">
        <w:rPr>
          <w:rFonts w:ascii="Times New Roman" w:hAnsi="Times New Roman"/>
          <w:sz w:val="22"/>
          <w:szCs w:val="22"/>
          <w:lang w:val="fr-BE"/>
        </w:rPr>
        <w:t>origin</w:t>
      </w:r>
      <w:proofErr w:type="spellEnd"/>
      <w:r w:rsidRPr="00D75785">
        <w:rPr>
          <w:rFonts w:ascii="Times New Roman" w:hAnsi="Times New Roman"/>
          <w:sz w:val="22"/>
          <w:szCs w:val="22"/>
          <w:lang w:val="fr-BE"/>
        </w:rPr>
        <w:t xml:space="preserve"> of the </w:t>
      </w:r>
      <w:proofErr w:type="spellStart"/>
      <w:r w:rsidRPr="00D75785">
        <w:rPr>
          <w:rFonts w:ascii="Times New Roman" w:hAnsi="Times New Roman"/>
          <w:sz w:val="22"/>
          <w:szCs w:val="22"/>
          <w:lang w:val="fr-BE"/>
        </w:rPr>
        <w:t>goods</w:t>
      </w:r>
      <w:proofErr w:type="spellEnd"/>
      <w:r w:rsidRPr="00D75785">
        <w:rPr>
          <w:rFonts w:ascii="Times New Roman" w:hAnsi="Times New Roman"/>
          <w:sz w:val="22"/>
          <w:szCs w:val="22"/>
          <w:lang w:val="fr-BE"/>
        </w:rPr>
        <w:t xml:space="preserve"> must </w:t>
      </w:r>
      <w:proofErr w:type="spellStart"/>
      <w:r w:rsidRPr="00D75785">
        <w:rPr>
          <w:rFonts w:ascii="Times New Roman" w:hAnsi="Times New Roman"/>
          <w:sz w:val="22"/>
          <w:szCs w:val="22"/>
          <w:lang w:val="fr-BE"/>
        </w:rPr>
        <w:t>be</w:t>
      </w:r>
      <w:proofErr w:type="spellEnd"/>
      <w:r w:rsidRPr="00D75785">
        <w:rPr>
          <w:rFonts w:ascii="Times New Roman" w:hAnsi="Times New Roman"/>
          <w:sz w:val="22"/>
          <w:szCs w:val="22"/>
          <w:lang w:val="fr-BE"/>
        </w:rPr>
        <w:t xml:space="preserve"> </w:t>
      </w:r>
      <w:proofErr w:type="spellStart"/>
      <w:r w:rsidRPr="00D75785">
        <w:rPr>
          <w:rFonts w:ascii="Times New Roman" w:hAnsi="Times New Roman"/>
          <w:sz w:val="22"/>
          <w:szCs w:val="22"/>
          <w:lang w:val="fr-BE"/>
        </w:rPr>
        <w:t>determined</w:t>
      </w:r>
      <w:proofErr w:type="spellEnd"/>
      <w:r w:rsidRPr="00D75785">
        <w:rPr>
          <w:rFonts w:ascii="Times New Roman" w:hAnsi="Times New Roman"/>
          <w:sz w:val="22"/>
          <w:szCs w:val="22"/>
          <w:lang w:val="fr-BE"/>
        </w:rPr>
        <w:t xml:space="preserve"> </w:t>
      </w:r>
      <w:proofErr w:type="spellStart"/>
      <w:r w:rsidRPr="00D75785">
        <w:rPr>
          <w:rFonts w:ascii="Times New Roman" w:hAnsi="Times New Roman"/>
          <w:sz w:val="22"/>
          <w:szCs w:val="22"/>
          <w:lang w:val="fr-BE"/>
        </w:rPr>
        <w:t>according</w:t>
      </w:r>
      <w:proofErr w:type="spellEnd"/>
      <w:r w:rsidRPr="00D75785">
        <w:rPr>
          <w:rFonts w:ascii="Times New Roman" w:hAnsi="Times New Roman"/>
          <w:sz w:val="22"/>
          <w:szCs w:val="22"/>
          <w:lang w:val="fr-BE"/>
        </w:rPr>
        <w:t xml:space="preserve">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0BFEFF7" w14:textId="10634EF8" w:rsidR="00D25711" w:rsidRPr="003D6B6C" w:rsidRDefault="00F355C1" w:rsidP="00780768">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780768">
        <w:rPr>
          <w:rFonts w:ascii="Times New Roman" w:hAnsi="Times New Roman"/>
          <w:sz w:val="22"/>
          <w:szCs w:val="22"/>
        </w:rPr>
        <w:t>The amount of the p</w:t>
      </w:r>
      <w:r w:rsidR="0091568E">
        <w:rPr>
          <w:rFonts w:ascii="Times New Roman" w:hAnsi="Times New Roman"/>
          <w:sz w:val="22"/>
          <w:szCs w:val="22"/>
        </w:rPr>
        <w:t xml:space="preserve">erformance guarantee shall be </w:t>
      </w:r>
      <w:r w:rsidR="005A4C47">
        <w:rPr>
          <w:rFonts w:ascii="Times New Roman" w:hAnsi="Times New Roman"/>
          <w:sz w:val="22"/>
          <w:szCs w:val="22"/>
        </w:rPr>
        <w:t>10</w:t>
      </w:r>
      <w:r w:rsidR="00780768">
        <w:rPr>
          <w:rFonts w:ascii="Times New Roman" w:hAnsi="Times New Roman"/>
          <w:sz w:val="22"/>
          <w:szCs w:val="22"/>
        </w:rPr>
        <w:t>% of the total Contract p</w:t>
      </w:r>
      <w:r w:rsidR="00780768" w:rsidRPr="00EE19E7">
        <w:rPr>
          <w:rFonts w:ascii="Times New Roman" w:hAnsi="Times New Roman"/>
          <w:sz w:val="22"/>
          <w:szCs w:val="22"/>
        </w:rPr>
        <w:t>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62868DE" w14:textId="6FFF4AEE" w:rsidR="00E76535" w:rsidRPr="003D6B6C" w:rsidRDefault="004D33C9" w:rsidP="0095271F">
      <w:pPr>
        <w:tabs>
          <w:tab w:val="left" w:pos="1134"/>
        </w:tabs>
        <w:spacing w:before="240"/>
        <w:ind w:left="1134" w:hanging="708"/>
        <w:jc w:val="both"/>
        <w:rPr>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95271F" w:rsidRPr="007D6F2D">
        <w:rPr>
          <w:rFonts w:ascii="Times New Roman" w:hAnsi="Times New Roman"/>
          <w:sz w:val="22"/>
          <w:szCs w:val="22"/>
        </w:rPr>
        <w:t>The Contractor shall insure the goods for their replacement value (110%) during delivery and commissioning. The insurance policy shall cover the risks during shipping and handling, storage, local transport, installation, covering losses due to traffic accidents, transport damage, theft, improper handling, fire, water, lightning, and professiona</w:t>
      </w:r>
      <w:r w:rsidR="0095271F">
        <w:rPr>
          <w:rFonts w:ascii="Times New Roman" w:hAnsi="Times New Roman"/>
          <w:sz w:val="22"/>
          <w:szCs w:val="22"/>
        </w:rPr>
        <w:t xml:space="preserve">l malpractice, from the time of </w:t>
      </w:r>
      <w:r w:rsidR="0095271F" w:rsidRPr="007D6F2D">
        <w:rPr>
          <w:rFonts w:ascii="Times New Roman" w:hAnsi="Times New Roman"/>
          <w:sz w:val="22"/>
          <w:szCs w:val="22"/>
        </w:rPr>
        <w:t>shipment (</w:t>
      </w:r>
      <w:proofErr w:type="spellStart"/>
      <w:r w:rsidR="0095271F" w:rsidRPr="007D6F2D">
        <w:rPr>
          <w:rFonts w:ascii="Times New Roman" w:hAnsi="Times New Roman"/>
          <w:sz w:val="22"/>
          <w:szCs w:val="22"/>
        </w:rPr>
        <w:t>ex factory</w:t>
      </w:r>
      <w:proofErr w:type="spellEnd"/>
      <w:r w:rsidR="0095271F" w:rsidRPr="007D6F2D">
        <w:rPr>
          <w:rFonts w:ascii="Times New Roman" w:hAnsi="Times New Roman"/>
          <w:sz w:val="22"/>
          <w:szCs w:val="22"/>
        </w:rPr>
        <w:t>/warehouse) until the issuance of the Provisional Acceptance Certificate.</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1C36B437" w14:textId="77777777" w:rsidR="0095271F" w:rsidRPr="00681882" w:rsidRDefault="00AC1107" w:rsidP="0095271F">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95271F" w:rsidRPr="00681882">
        <w:rPr>
          <w:rFonts w:ascii="Times New Roman" w:hAnsi="Times New Roman"/>
          <w:sz w:val="22"/>
          <w:szCs w:val="22"/>
        </w:rPr>
        <w:t xml:space="preserve">The Contractor shall within 2 weeks from the date of contract signature by both parties submit an indicative programme of implementation of tasks for the information and eventual comments by the Project Manager and the Beneficiary. The programme should be presented in days from the commencement date. The Contractor is responsible to timely coordinate the deliveries and all other associated activities with the Beneficiary while keeping the Project Manager in copy of such communication for information purposes. </w:t>
      </w:r>
    </w:p>
    <w:p w14:paraId="79AC566D" w14:textId="77777777" w:rsidR="0095271F" w:rsidRPr="003D6B6C" w:rsidRDefault="0095271F" w:rsidP="0095271F">
      <w:pPr>
        <w:ind w:left="1134" w:hanging="709"/>
        <w:jc w:val="both"/>
        <w:rPr>
          <w:rFonts w:ascii="Times New Roman" w:hAnsi="Times New Roman"/>
          <w:b/>
          <w:sz w:val="22"/>
          <w:szCs w:val="22"/>
        </w:rPr>
      </w:pPr>
      <w:r w:rsidRPr="00681882">
        <w:rPr>
          <w:rFonts w:ascii="Times New Roman" w:hAnsi="Times New Roman"/>
          <w:sz w:val="22"/>
          <w:szCs w:val="22"/>
        </w:rPr>
        <w:tab/>
        <w:t>If the progress of the implementation of the tasks does not conform to the programme, in line with the Article 22 of the General Conditions, Project Manager may issue an administrative order requesting submission to the Contracting Authority of a revised programme by the Contractor within specified deadline</w:t>
      </w:r>
      <w:r>
        <w:rPr>
          <w:rFonts w:ascii="Times New Roman" w:hAnsi="Times New Roman"/>
          <w:sz w:val="22"/>
          <w:szCs w:val="22"/>
        </w:rPr>
        <w:t>.</w:t>
      </w:r>
    </w:p>
    <w:p w14:paraId="68CCF8F0" w14:textId="2E9C3C0D" w:rsidR="0047783A" w:rsidRPr="003D6B6C" w:rsidRDefault="0047783A" w:rsidP="005D03AA">
      <w:pPr>
        <w:ind w:left="1134" w:hanging="709"/>
        <w:jc w:val="both"/>
        <w:rPr>
          <w:rFonts w:ascii="Times New Roman" w:hAnsi="Times New Roman"/>
          <w:b/>
          <w:sz w:val="22"/>
          <w:szCs w:val="22"/>
        </w:rPr>
      </w:pP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5593F6C6" w14:textId="77777777" w:rsidR="0095271F" w:rsidRPr="00231EAA" w:rsidRDefault="005B0129" w:rsidP="0095271F">
      <w:pPr>
        <w:pStyle w:val="Heading2"/>
        <w:keepNext w:val="0"/>
        <w:numPr>
          <w:ilvl w:val="1"/>
          <w:numId w:val="0"/>
        </w:numPr>
        <w:ind w:left="1134" w:hanging="684"/>
        <w:jc w:val="both"/>
        <w:rPr>
          <w:rFonts w:ascii="Times New Roman" w:hAnsi="Times New Roman"/>
          <w:sz w:val="22"/>
          <w:szCs w:val="22"/>
          <w:lang w:val="en-GB"/>
        </w:rPr>
      </w:pPr>
      <w:r w:rsidRPr="003D6B6C">
        <w:rPr>
          <w:rFonts w:ascii="Times New Roman" w:hAnsi="Times New Roman"/>
          <w:sz w:val="22"/>
          <w:szCs w:val="22"/>
        </w:rPr>
        <w:t>14.1</w:t>
      </w:r>
      <w:r w:rsidRPr="003D6B6C">
        <w:rPr>
          <w:rFonts w:ascii="Times New Roman" w:hAnsi="Times New Roman"/>
          <w:sz w:val="22"/>
          <w:szCs w:val="22"/>
        </w:rPr>
        <w:tab/>
      </w:r>
      <w:r w:rsidR="0095271F" w:rsidRPr="00231EAA">
        <w:rPr>
          <w:rFonts w:ascii="Times New Roman" w:hAnsi="Times New Roman"/>
          <w:sz w:val="22"/>
          <w:szCs w:val="22"/>
          <w:lang w:val="en-GB"/>
        </w:rPr>
        <w:t xml:space="preserve">All equipment must be supplied with the technical documentation requested in the Technical Specifications. </w:t>
      </w:r>
    </w:p>
    <w:p w14:paraId="286EE831" w14:textId="77777777" w:rsidR="0095271F" w:rsidRPr="00231EAA" w:rsidRDefault="0095271F" w:rsidP="0095271F">
      <w:pPr>
        <w:ind w:left="1134"/>
        <w:jc w:val="both"/>
        <w:rPr>
          <w:rFonts w:ascii="Times New Roman" w:hAnsi="Times New Roman"/>
          <w:sz w:val="22"/>
        </w:rPr>
      </w:pPr>
      <w:r w:rsidRPr="00231EAA">
        <w:rPr>
          <w:rFonts w:ascii="Times New Roman" w:hAnsi="Times New Roman"/>
          <w:sz w:val="22"/>
        </w:rPr>
        <w:t xml:space="preserve">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w:t>
      </w:r>
      <w:proofErr w:type="gramStart"/>
      <w:r w:rsidRPr="00231EAA">
        <w:rPr>
          <w:rFonts w:ascii="Times New Roman" w:hAnsi="Times New Roman"/>
          <w:sz w:val="22"/>
        </w:rPr>
        <w:t>particular</w:t>
      </w:r>
      <w:proofErr w:type="gramEnd"/>
      <w:r w:rsidRPr="00231EAA">
        <w:rPr>
          <w:rFonts w:ascii="Times New Roman" w:hAnsi="Times New Roman"/>
          <w:sz w:val="22"/>
        </w:rPr>
        <w:t xml:space="preserve"> and without limitation they may use the same for future repairs, maintenance, </w:t>
      </w:r>
      <w:r>
        <w:rPr>
          <w:rFonts w:ascii="Times New Roman" w:hAnsi="Times New Roman"/>
          <w:sz w:val="22"/>
        </w:rPr>
        <w:t xml:space="preserve">support, </w:t>
      </w:r>
      <w:r w:rsidRPr="00231EAA">
        <w:rPr>
          <w:rFonts w:ascii="Times New Roman" w:hAnsi="Times New Roman"/>
          <w:sz w:val="22"/>
        </w:rPr>
        <w:t>extension and they may publish the same in future tenders.  Any moral intellectual property rights of the Contractor as regards a right to credit are hereby waived.</w:t>
      </w:r>
    </w:p>
    <w:p w14:paraId="41CE669C" w14:textId="77777777" w:rsidR="0095271F" w:rsidRPr="003D6B6C" w:rsidRDefault="0095271F" w:rsidP="0095271F">
      <w:pPr>
        <w:ind w:left="1134" w:hanging="709"/>
        <w:jc w:val="both"/>
        <w:rPr>
          <w:rFonts w:ascii="Times New Roman" w:hAnsi="Times New Roman"/>
          <w:sz w:val="22"/>
          <w:szCs w:val="22"/>
        </w:rPr>
      </w:pPr>
      <w:r>
        <w:rPr>
          <w:rFonts w:ascii="Times New Roman" w:hAnsi="Times New Roman"/>
          <w:sz w:val="22"/>
        </w:rPr>
        <w:lastRenderedPageBreak/>
        <w:t xml:space="preserve">             </w:t>
      </w:r>
      <w:r w:rsidRPr="00231EAA">
        <w:rPr>
          <w:rFonts w:ascii="Times New Roman" w:hAnsi="Times New Roman"/>
          <w:sz w:val="22"/>
        </w:rPr>
        <w:t xml:space="preserve">Any fittings and fittings or ancillaries or information that is required by the Beneficiary to prepare for proper acceptance, installation and commissioning of the equipment, position and capacity of utility supplies, any other preconditions for installation and operation, must be made available to the Project Manager and Beneficiary </w:t>
      </w:r>
      <w:r>
        <w:rPr>
          <w:rFonts w:ascii="Times New Roman" w:hAnsi="Times New Roman"/>
          <w:sz w:val="22"/>
        </w:rPr>
        <w:t>upon a request.</w:t>
      </w:r>
    </w:p>
    <w:p w14:paraId="62741992" w14:textId="4F558136" w:rsidR="0047783A" w:rsidRPr="003D6B6C" w:rsidRDefault="0047783A" w:rsidP="005D03AA">
      <w:pPr>
        <w:ind w:left="1134" w:hanging="709"/>
        <w:jc w:val="both"/>
        <w:rPr>
          <w:rFonts w:ascii="Times New Roman" w:hAnsi="Times New Roman"/>
          <w:sz w:val="22"/>
          <w:szCs w:val="22"/>
        </w:rPr>
      </w:pP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03AD86D8" w14:textId="77777777" w:rsidR="0095271F" w:rsidRDefault="005B0129" w:rsidP="0095271F">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5271F" w:rsidRPr="007F5876">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w:t>
      </w:r>
    </w:p>
    <w:p w14:paraId="331ABEAC" w14:textId="77777777" w:rsidR="0095271F" w:rsidRPr="003D6B6C" w:rsidRDefault="0095271F" w:rsidP="0095271F">
      <w:pPr>
        <w:ind w:left="1080"/>
        <w:jc w:val="both"/>
        <w:rPr>
          <w:rFonts w:ascii="Times New Roman" w:hAnsi="Times New Roman"/>
          <w:sz w:val="22"/>
          <w:szCs w:val="22"/>
        </w:rPr>
      </w:pPr>
      <w:r w:rsidRPr="00E84B53">
        <w:rPr>
          <w:rFonts w:ascii="Times New Roman" w:hAnsi="Times New Roman"/>
          <w:sz w:val="22"/>
          <w:szCs w:val="22"/>
        </w:rPr>
        <w:t>No price adjustment, which might occur as the result of a change in the price of labour, or any material components shall be applied, i.e. unit prices are fixed.</w:t>
      </w:r>
    </w:p>
    <w:p w14:paraId="4B4F2207" w14:textId="03B824B9" w:rsidR="0047783A" w:rsidRPr="003D6B6C" w:rsidRDefault="0047783A" w:rsidP="005D03AA">
      <w:pPr>
        <w:ind w:left="1134" w:hanging="709"/>
        <w:jc w:val="both"/>
        <w:rPr>
          <w:rFonts w:ascii="Times New Roman" w:hAnsi="Times New Roman"/>
          <w:sz w:val="22"/>
          <w:szCs w:val="22"/>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2979843" w:rsidR="00C52305"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95271F" w:rsidRPr="007F5876">
        <w:rPr>
          <w:rFonts w:ascii="Times New Roman" w:hAnsi="Times New Roman"/>
          <w:sz w:val="22"/>
          <w:szCs w:val="22"/>
        </w:rPr>
        <w:t xml:space="preserve">The European Commission and the Republic of Serbia have agreed in the Framework Agreement signed on </w:t>
      </w:r>
      <w:r w:rsidR="0095271F">
        <w:rPr>
          <w:rFonts w:ascii="Times New Roman" w:hAnsi="Times New Roman"/>
          <w:sz w:val="22"/>
          <w:szCs w:val="22"/>
        </w:rPr>
        <w:t>23/12/2014</w:t>
      </w:r>
      <w:r w:rsidR="0095271F" w:rsidRPr="007F5876">
        <w:rPr>
          <w:rFonts w:ascii="Times New Roman" w:hAnsi="Times New Roman"/>
          <w:sz w:val="22"/>
          <w:szCs w:val="22"/>
        </w:rPr>
        <w:t xml:space="preserve"> to fully exonerate the following taxes: customs duties, import duties, taxes or fiscal charges in connection with import, value added tax, documentary stamp or registration duties or fiscal charges having an equivalent effect.</w:t>
      </w:r>
    </w:p>
    <w:p w14:paraId="7CD679CB" w14:textId="77777777" w:rsidR="009F3C68" w:rsidRPr="003D6B6C" w:rsidRDefault="009F3C68" w:rsidP="004931D2">
      <w:pPr>
        <w:jc w:val="both"/>
        <w:rPr>
          <w:rFonts w:ascii="Times New Roman" w:hAnsi="Times New Roman"/>
          <w:sz w:val="22"/>
          <w:szCs w:val="22"/>
        </w:rPr>
      </w:pP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45A4C7E3" w14:textId="7FAE4773" w:rsidR="00EB32E9" w:rsidRPr="003D6B6C" w:rsidRDefault="0047783A" w:rsidP="0095271F">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B32E9" w:rsidRPr="003D6B6C">
        <w:rPr>
          <w:rFonts w:ascii="Times New Roman" w:hAnsi="Times New Roman"/>
          <w:sz w:val="22"/>
          <w:szCs w:val="22"/>
        </w:rPr>
        <w:t xml:space="preserve"> </w:t>
      </w:r>
      <w:r w:rsidR="0095271F" w:rsidRPr="0021163E">
        <w:rPr>
          <w:rFonts w:ascii="Times New Roman" w:hAnsi="Times New Roman"/>
          <w:sz w:val="22"/>
          <w:szCs w:val="22"/>
        </w:rPr>
        <w:t>The Contracting Authority shall inform the Contractor by administrative order of the date on which implementation of the tasks shall begin, which shall be issued by the Project Manager of the Contracting Authority within 90 days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50B8D559"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5271F" w:rsidRPr="0034070C">
        <w:rPr>
          <w:rFonts w:ascii="Times New Roman" w:hAnsi="Times New Roman"/>
          <w:sz w:val="22"/>
          <w:szCs w:val="22"/>
        </w:rPr>
        <w:t xml:space="preserve">The period of implementation of tasks shall be </w:t>
      </w:r>
      <w:r w:rsidR="00736F0D" w:rsidRPr="00736F0D">
        <w:rPr>
          <w:rFonts w:ascii="Times New Roman" w:hAnsi="Times New Roman"/>
          <w:sz w:val="22"/>
          <w:szCs w:val="22"/>
        </w:rPr>
        <w:t>36</w:t>
      </w:r>
      <w:r w:rsidR="0095271F" w:rsidRPr="00736F0D">
        <w:rPr>
          <w:rFonts w:ascii="Times New Roman" w:hAnsi="Times New Roman"/>
          <w:sz w:val="22"/>
          <w:szCs w:val="22"/>
        </w:rPr>
        <w:t>0 days</w:t>
      </w:r>
      <w:r w:rsidR="0095271F" w:rsidRPr="0034070C">
        <w:rPr>
          <w:rFonts w:ascii="Times New Roman" w:hAnsi="Times New Roman"/>
          <w:sz w:val="22"/>
          <w:szCs w:val="22"/>
        </w:rPr>
        <w:t xml:space="preserve"> from the day of issuance of Commencement Order until the provisional acceptance</w:t>
      </w:r>
      <w:r w:rsidR="0095271F">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25FDE25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95271F">
        <w:rPr>
          <w:rFonts w:ascii="Times New Roman" w:hAnsi="Times New Roman"/>
          <w:sz w:val="22"/>
          <w:szCs w:val="22"/>
        </w:rPr>
        <w:tab/>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DBD2E53" w14:textId="77777777" w:rsidR="00C17989" w:rsidRDefault="005B0129" w:rsidP="00C17989">
      <w:pPr>
        <w:tabs>
          <w:tab w:val="num" w:pos="1440"/>
        </w:tabs>
        <w:ind w:left="1134" w:hanging="567"/>
        <w:jc w:val="both"/>
        <w:rPr>
          <w:rFonts w:ascii="Times New Roman" w:hAnsi="Times New Roman"/>
          <w:snapToGrid/>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C17989" w:rsidRPr="003A48BB">
        <w:rPr>
          <w:rFonts w:ascii="Times New Roman" w:hAnsi="Times New Roman"/>
          <w:bCs/>
          <w:sz w:val="22"/>
          <w:szCs w:val="22"/>
        </w:rPr>
        <w:t>The supplies and the whole system shall be inspected and tested at the place of acceptance as per the provisional distribution list enclosed in Annex II</w:t>
      </w:r>
      <w:r w:rsidR="00C17989">
        <w:rPr>
          <w:rFonts w:ascii="Times New Roman" w:hAnsi="Times New Roman"/>
          <w:bCs/>
          <w:sz w:val="22"/>
          <w:szCs w:val="22"/>
        </w:rPr>
        <w:t>+III</w:t>
      </w:r>
      <w:r w:rsidR="00C17989" w:rsidRPr="003A48BB">
        <w:rPr>
          <w:rFonts w:ascii="Times New Roman" w:hAnsi="Times New Roman"/>
          <w:bCs/>
          <w:sz w:val="22"/>
          <w:szCs w:val="22"/>
        </w:rPr>
        <w:t xml:space="preserve">: Technical </w:t>
      </w:r>
      <w:proofErr w:type="spellStart"/>
      <w:r w:rsidR="00C17989" w:rsidRPr="003A48BB">
        <w:rPr>
          <w:rFonts w:ascii="Times New Roman" w:hAnsi="Times New Roman"/>
          <w:bCs/>
          <w:sz w:val="22"/>
          <w:szCs w:val="22"/>
        </w:rPr>
        <w:t>Specifications</w:t>
      </w:r>
      <w:r w:rsidR="00C17989">
        <w:rPr>
          <w:rFonts w:ascii="Times New Roman" w:hAnsi="Times New Roman"/>
          <w:bCs/>
          <w:sz w:val="22"/>
          <w:szCs w:val="22"/>
        </w:rPr>
        <w:t>+Technical</w:t>
      </w:r>
      <w:proofErr w:type="spellEnd"/>
      <w:r w:rsidR="00C17989">
        <w:rPr>
          <w:rFonts w:ascii="Times New Roman" w:hAnsi="Times New Roman"/>
          <w:bCs/>
          <w:sz w:val="22"/>
          <w:szCs w:val="22"/>
        </w:rPr>
        <w:t xml:space="preserve"> Offer</w:t>
      </w:r>
      <w:r w:rsidR="00C17989" w:rsidRPr="003A48BB">
        <w:rPr>
          <w:rFonts w:ascii="Times New Roman" w:hAnsi="Times New Roman"/>
          <w:bCs/>
          <w:sz w:val="22"/>
          <w:szCs w:val="22"/>
        </w:rPr>
        <w:t xml:space="preserve"> – Equipment distribution list.</w:t>
      </w:r>
    </w:p>
    <w:p w14:paraId="0DA70B9C" w14:textId="77777777" w:rsidR="00C17989" w:rsidRDefault="00C17989" w:rsidP="00C17989">
      <w:pPr>
        <w:tabs>
          <w:tab w:val="num" w:pos="1440"/>
        </w:tabs>
        <w:ind w:left="1134" w:hanging="567"/>
        <w:jc w:val="both"/>
        <w:rPr>
          <w:rFonts w:ascii="Times New Roman" w:hAnsi="Times New Roman"/>
          <w:sz w:val="22"/>
          <w:szCs w:val="22"/>
        </w:rPr>
      </w:pPr>
      <w:r>
        <w:rPr>
          <w:rFonts w:ascii="Times New Roman" w:hAnsi="Times New Roman"/>
          <w:sz w:val="22"/>
          <w:szCs w:val="22"/>
        </w:rPr>
        <w:tab/>
        <w:t xml:space="preserve">The Contractor shall deliver, install and commission all equipment, fittings and fixings, including final installation, configuration and connection and all miscellaneous items of equipment, fixings and fittings in order that the supplies are left in place fully operational and ready for use. The cost of consumables used </w:t>
      </w:r>
      <w:r>
        <w:rPr>
          <w:rFonts w:ascii="Times New Roman" w:hAnsi="Times New Roman"/>
          <w:sz w:val="22"/>
          <w:szCs w:val="22"/>
        </w:rPr>
        <w:lastRenderedPageBreak/>
        <w:t xml:space="preserve">during installation and commissioning and for running time, before provisional acceptance, shall be borne totally by the Contractor.  </w:t>
      </w:r>
    </w:p>
    <w:p w14:paraId="5C75110C" w14:textId="77777777" w:rsidR="00C17989" w:rsidRPr="003D6B6C" w:rsidRDefault="00C17989" w:rsidP="00C17989">
      <w:pPr>
        <w:ind w:left="1134" w:hanging="709"/>
        <w:jc w:val="both"/>
        <w:rPr>
          <w:rFonts w:ascii="Times New Roman" w:hAnsi="Times New Roman"/>
          <w:b/>
          <w:sz w:val="22"/>
          <w:szCs w:val="22"/>
        </w:rPr>
      </w:pPr>
      <w:r>
        <w:rPr>
          <w:rFonts w:ascii="Times New Roman" w:hAnsi="Times New Roman"/>
          <w:sz w:val="22"/>
          <w:szCs w:val="22"/>
        </w:rPr>
        <w:tab/>
      </w:r>
      <w:r w:rsidRPr="003A48BB">
        <w:rPr>
          <w:rFonts w:ascii="Times New Roman" w:hAnsi="Times New Roman"/>
          <w:bCs/>
          <w:sz w:val="22"/>
          <w:szCs w:val="22"/>
        </w:rPr>
        <w:t>The</w:t>
      </w:r>
      <w:r>
        <w:rPr>
          <w:rFonts w:ascii="Times New Roman" w:hAnsi="Times New Roman"/>
          <w:bCs/>
          <w:sz w:val="22"/>
          <w:szCs w:val="22"/>
        </w:rPr>
        <w:t xml:space="preserve"> inspection and</w:t>
      </w:r>
      <w:r w:rsidRPr="003A48BB">
        <w:rPr>
          <w:rFonts w:ascii="Times New Roman" w:hAnsi="Times New Roman"/>
          <w:bCs/>
          <w:sz w:val="22"/>
          <w:szCs w:val="22"/>
        </w:rPr>
        <w:t xml:space="preserve"> testing </w:t>
      </w:r>
      <w:r>
        <w:rPr>
          <w:rFonts w:ascii="Times New Roman" w:hAnsi="Times New Roman"/>
          <w:bCs/>
          <w:sz w:val="22"/>
          <w:szCs w:val="22"/>
        </w:rPr>
        <w:t xml:space="preserve">of all equipment will be started and completed within a maximum 15 calendar days </w:t>
      </w:r>
      <w:r w:rsidRPr="003A48BB">
        <w:rPr>
          <w:rFonts w:ascii="Times New Roman" w:hAnsi="Times New Roman"/>
          <w:bCs/>
          <w:sz w:val="22"/>
          <w:szCs w:val="22"/>
        </w:rPr>
        <w:t xml:space="preserve">after </w:t>
      </w:r>
      <w:r>
        <w:rPr>
          <w:rFonts w:ascii="Times New Roman" w:hAnsi="Times New Roman"/>
          <w:bCs/>
          <w:sz w:val="22"/>
          <w:szCs w:val="22"/>
        </w:rPr>
        <w:t xml:space="preserve">delivery, </w:t>
      </w:r>
      <w:r w:rsidRPr="003A48BB">
        <w:rPr>
          <w:rFonts w:ascii="Times New Roman" w:hAnsi="Times New Roman"/>
          <w:bCs/>
          <w:sz w:val="22"/>
          <w:szCs w:val="22"/>
        </w:rPr>
        <w:t xml:space="preserve">installation </w:t>
      </w:r>
      <w:r>
        <w:rPr>
          <w:rFonts w:ascii="Times New Roman" w:hAnsi="Times New Roman"/>
          <w:bCs/>
          <w:sz w:val="22"/>
          <w:szCs w:val="22"/>
        </w:rPr>
        <w:t>and putting into service</w:t>
      </w:r>
      <w:r w:rsidRPr="003A48BB">
        <w:rPr>
          <w:rFonts w:ascii="Times New Roman" w:hAnsi="Times New Roman"/>
          <w:bCs/>
          <w:sz w:val="22"/>
          <w:szCs w:val="22"/>
        </w:rPr>
        <w:t>.</w:t>
      </w:r>
    </w:p>
    <w:p w14:paraId="64178ACF" w14:textId="002CED1F" w:rsidR="0047783A" w:rsidRPr="003D6B6C" w:rsidRDefault="0047783A" w:rsidP="005D03AA">
      <w:pPr>
        <w:ind w:left="1134" w:hanging="709"/>
        <w:jc w:val="both"/>
        <w:rPr>
          <w:rFonts w:ascii="Times New Roman" w:hAnsi="Times New Roman"/>
          <w:b/>
          <w:sz w:val="22"/>
          <w:szCs w:val="22"/>
        </w:rPr>
      </w:pP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02E907A5" w14:textId="77777777" w:rsidR="00C17989" w:rsidRPr="00C17989" w:rsidRDefault="0047783A" w:rsidP="00C1798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C17989" w:rsidRPr="00C17989">
        <w:rPr>
          <w:rFonts w:ascii="Times New Roman" w:hAnsi="Times New Roman"/>
          <w:sz w:val="22"/>
          <w:szCs w:val="22"/>
        </w:rPr>
        <w:t>Payments shall be made in Euros.</w:t>
      </w:r>
    </w:p>
    <w:p w14:paraId="40D6EDA1" w14:textId="77777777"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Payments shall be authorised and made by Contracting and Financing of EU funded Programmes (CFCU), Sremska 3-5 St, 11000 Belgrade, Republic of Serbia.</w:t>
      </w:r>
    </w:p>
    <w:p w14:paraId="1067052C" w14:textId="77777777"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 xml:space="preserve">The Contractor must inform the European Commission at EU Delegation to the Republic of Serbia, </w:t>
      </w:r>
      <w:proofErr w:type="spellStart"/>
      <w:r w:rsidRPr="00C17989">
        <w:rPr>
          <w:rFonts w:ascii="Times New Roman" w:hAnsi="Times New Roman"/>
          <w:sz w:val="22"/>
          <w:szCs w:val="22"/>
        </w:rPr>
        <w:t>Vladimira</w:t>
      </w:r>
      <w:proofErr w:type="spellEnd"/>
      <w:r w:rsidRPr="00C17989">
        <w:rPr>
          <w:rFonts w:ascii="Times New Roman" w:hAnsi="Times New Roman"/>
          <w:sz w:val="22"/>
          <w:szCs w:val="22"/>
        </w:rPr>
        <w:t xml:space="preserve"> </w:t>
      </w:r>
      <w:proofErr w:type="spellStart"/>
      <w:r w:rsidRPr="00C17989">
        <w:rPr>
          <w:rFonts w:ascii="Times New Roman" w:hAnsi="Times New Roman"/>
          <w:sz w:val="22"/>
          <w:szCs w:val="22"/>
        </w:rPr>
        <w:t>Popovica</w:t>
      </w:r>
      <w:proofErr w:type="spellEnd"/>
      <w:r w:rsidRPr="00C17989">
        <w:rPr>
          <w:rFonts w:ascii="Times New Roman" w:hAnsi="Times New Roman"/>
          <w:sz w:val="22"/>
          <w:szCs w:val="22"/>
        </w:rPr>
        <w:t xml:space="preserve"> 40/V (Avenue 19a GTC Building), 11070 New Belgrade, Republic of Serbia, thereof by sending a copy of the correspondence.</w:t>
      </w:r>
    </w:p>
    <w:p w14:paraId="5B3E1EA2" w14:textId="77777777"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26.3</w:t>
      </w:r>
      <w:r w:rsidRPr="00C17989">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792A08C9" w14:textId="77777777" w:rsidR="00C17989" w:rsidRPr="00C17989" w:rsidRDefault="00C17989" w:rsidP="00C17989">
      <w:pPr>
        <w:tabs>
          <w:tab w:val="right" w:pos="9885"/>
        </w:tabs>
        <w:ind w:left="1134" w:hanging="709"/>
        <w:jc w:val="both"/>
        <w:rPr>
          <w:rFonts w:ascii="Times New Roman" w:hAnsi="Times New Roman"/>
          <w:sz w:val="22"/>
          <w:szCs w:val="22"/>
        </w:rPr>
      </w:pPr>
      <w:r w:rsidRPr="00C17989">
        <w:rPr>
          <w:rFonts w:ascii="Times New Roman" w:hAnsi="Times New Roman"/>
          <w:sz w:val="22"/>
          <w:szCs w:val="22"/>
        </w:rPr>
        <w:t>26.5</w:t>
      </w:r>
      <w:r w:rsidRPr="00C17989">
        <w:rPr>
          <w:rFonts w:ascii="Times New Roman" w:hAnsi="Times New Roman"/>
          <w:sz w:val="22"/>
          <w:szCs w:val="22"/>
        </w:rPr>
        <w:tab/>
        <w:t>In order to obtain payments, the contractor must forward to the authority referred to in paragraph 26.1 above:</w:t>
      </w:r>
    </w:p>
    <w:p w14:paraId="5CA0025A" w14:textId="4C00AF04" w:rsidR="00C17989" w:rsidRPr="00C17989" w:rsidRDefault="00C17989" w:rsidP="00C17989">
      <w:pPr>
        <w:tabs>
          <w:tab w:val="right" w:pos="9885"/>
        </w:tabs>
        <w:ind w:left="1134" w:hanging="709"/>
        <w:jc w:val="both"/>
        <w:rPr>
          <w:rFonts w:ascii="Times New Roman" w:hAnsi="Times New Roman"/>
          <w:bCs/>
          <w:sz w:val="22"/>
          <w:szCs w:val="22"/>
        </w:rPr>
      </w:pPr>
      <w:r w:rsidRPr="00C17989">
        <w:rPr>
          <w:rFonts w:ascii="Times New Roman" w:hAnsi="Times New Roman"/>
          <w:sz w:val="22"/>
          <w:szCs w:val="22"/>
        </w:rPr>
        <w:t>a)</w:t>
      </w:r>
      <w:r w:rsidRPr="00C17989">
        <w:rPr>
          <w:rFonts w:ascii="Times New Roman" w:hAnsi="Times New Roman"/>
          <w:b/>
          <w:sz w:val="22"/>
          <w:szCs w:val="22"/>
        </w:rPr>
        <w:tab/>
      </w:r>
      <w:r w:rsidRPr="00C17989">
        <w:rPr>
          <w:rFonts w:ascii="Times New Roman" w:hAnsi="Times New Roman"/>
          <w:sz w:val="22"/>
          <w:szCs w:val="22"/>
        </w:rPr>
        <w:t xml:space="preserve">For the 40% pre-financing, </w:t>
      </w:r>
    </w:p>
    <w:p w14:paraId="01870FF0" w14:textId="34B7E233" w:rsidR="00C17989" w:rsidRPr="00C17989" w:rsidRDefault="00C17989" w:rsidP="00C17989">
      <w:pPr>
        <w:tabs>
          <w:tab w:val="right" w:pos="9885"/>
        </w:tabs>
        <w:ind w:left="1134" w:hanging="709"/>
        <w:jc w:val="both"/>
        <w:rPr>
          <w:rFonts w:ascii="Times New Roman" w:hAnsi="Times New Roman"/>
          <w:bCs/>
          <w:sz w:val="22"/>
          <w:szCs w:val="22"/>
        </w:rPr>
      </w:pPr>
      <w:r w:rsidRPr="00C17989">
        <w:rPr>
          <w:rFonts w:ascii="Times New Roman" w:hAnsi="Times New Roman"/>
          <w:bCs/>
          <w:sz w:val="22"/>
          <w:szCs w:val="22"/>
        </w:rPr>
        <w:t>When (</w:t>
      </w:r>
      <w:proofErr w:type="spellStart"/>
      <w:r w:rsidRPr="00C17989">
        <w:rPr>
          <w:rFonts w:ascii="Times New Roman" w:hAnsi="Times New Roman"/>
          <w:bCs/>
          <w:sz w:val="22"/>
          <w:szCs w:val="22"/>
        </w:rPr>
        <w:t>i</w:t>
      </w:r>
      <w:proofErr w:type="spellEnd"/>
      <w:r w:rsidRPr="00C17989">
        <w:rPr>
          <w:rFonts w:ascii="Times New Roman" w:hAnsi="Times New Roman"/>
          <w:bCs/>
          <w:sz w:val="22"/>
          <w:szCs w:val="22"/>
        </w:rPr>
        <w:t>) the pre-financing requested is equal or below EUR 300 000 and (ii) the contracting authority does not require a financial guarantee following a risk assessment</w:t>
      </w:r>
      <w:r w:rsidR="001818F9" w:rsidRPr="001818F9">
        <w:rPr>
          <w:rFonts w:ascii="Times New Roman" w:hAnsi="Times New Roman"/>
          <w:bCs/>
          <w:sz w:val="22"/>
          <w:szCs w:val="22"/>
          <w:vertAlign w:val="superscript"/>
        </w:rPr>
        <w:footnoteReference w:id="1"/>
      </w:r>
      <w:r w:rsidR="001818F9" w:rsidRPr="001818F9">
        <w:rPr>
          <w:rFonts w:ascii="Times New Roman" w:hAnsi="Times New Roman"/>
          <w:bCs/>
          <w:sz w:val="22"/>
          <w:szCs w:val="22"/>
        </w:rPr>
        <w:t>,</w:t>
      </w:r>
      <w:r w:rsidRPr="00C17989">
        <w:rPr>
          <w:rFonts w:ascii="Times New Roman" w:hAnsi="Times New Roman"/>
          <w:bCs/>
          <w:sz w:val="22"/>
          <w:szCs w:val="22"/>
        </w:rPr>
        <w:t xml:space="preserve"> , by derogation from article 26.5 of the general conditions no pre-financing guarantee is required.</w:t>
      </w:r>
    </w:p>
    <w:p w14:paraId="357B2A7A" w14:textId="77777777" w:rsidR="00C17989" w:rsidRPr="00C17989" w:rsidRDefault="00C17989" w:rsidP="00C17989">
      <w:pPr>
        <w:tabs>
          <w:tab w:val="right" w:pos="9885"/>
        </w:tabs>
        <w:ind w:left="1134" w:hanging="709"/>
        <w:jc w:val="both"/>
        <w:rPr>
          <w:rFonts w:ascii="Times New Roman" w:hAnsi="Times New Roman"/>
          <w:bCs/>
          <w:sz w:val="22"/>
          <w:szCs w:val="22"/>
        </w:rPr>
      </w:pPr>
      <w:r w:rsidRPr="00C17989">
        <w:rPr>
          <w:rFonts w:ascii="Times New Roman" w:hAnsi="Times New Roman"/>
          <w:sz w:val="22"/>
          <w:szCs w:val="22"/>
        </w:rPr>
        <w:t>b)</w:t>
      </w:r>
      <w:r w:rsidRPr="00C17989">
        <w:rPr>
          <w:rFonts w:ascii="Times New Roman" w:hAnsi="Times New Roman"/>
          <w:b/>
          <w:sz w:val="22"/>
          <w:szCs w:val="22"/>
        </w:rPr>
        <w:tab/>
      </w:r>
      <w:r w:rsidRPr="00C17989">
        <w:rPr>
          <w:rFonts w:ascii="Times New Roman" w:hAnsi="Times New Roman"/>
          <w:sz w:val="22"/>
          <w:szCs w:val="22"/>
        </w:rPr>
        <w:t>For the 60 % balance, the invoice in triplicate together with the request for provisional acceptance of the supplies.</w:t>
      </w:r>
    </w:p>
    <w:p w14:paraId="51195E51" w14:textId="77777777" w:rsidR="00C17989" w:rsidRPr="00C17989" w:rsidRDefault="00C17989" w:rsidP="00C17989">
      <w:pPr>
        <w:tabs>
          <w:tab w:val="right" w:pos="9885"/>
        </w:tabs>
        <w:ind w:left="1134" w:hanging="709"/>
        <w:jc w:val="both"/>
        <w:rPr>
          <w:rFonts w:ascii="Times New Roman" w:hAnsi="Times New Roman"/>
          <w:b/>
          <w:sz w:val="22"/>
          <w:szCs w:val="22"/>
        </w:rPr>
      </w:pPr>
      <w:r w:rsidRPr="00C17989">
        <w:rPr>
          <w:rFonts w:ascii="Times New Roman" w:hAnsi="Times New Roman"/>
          <w:sz w:val="22"/>
          <w:szCs w:val="22"/>
        </w:rPr>
        <w:t>26.9</w:t>
      </w:r>
      <w:r w:rsidRPr="00C17989">
        <w:rPr>
          <w:rFonts w:ascii="Times New Roman" w:hAnsi="Times New Roman"/>
          <w:b/>
          <w:sz w:val="22"/>
          <w:szCs w:val="22"/>
        </w:rPr>
        <w:tab/>
      </w:r>
      <w:r w:rsidRPr="00C17989">
        <w:rPr>
          <w:rFonts w:ascii="Times New Roman" w:hAnsi="Times New Roman"/>
          <w:sz w:val="22"/>
          <w:szCs w:val="22"/>
        </w:rPr>
        <w:t>This Contract does not include a price revision clause.</w:t>
      </w:r>
    </w:p>
    <w:p w14:paraId="21DD1760" w14:textId="43443F37" w:rsidR="0047783A" w:rsidRPr="003D6B6C" w:rsidRDefault="0047783A" w:rsidP="00C17989">
      <w:pPr>
        <w:tabs>
          <w:tab w:val="right" w:pos="9885"/>
        </w:tabs>
        <w:ind w:left="1134" w:hanging="709"/>
        <w:jc w:val="both"/>
        <w:rPr>
          <w:rFonts w:ascii="Times New Roman" w:hAnsi="Times New Roman"/>
          <w:b/>
          <w:sz w:val="22"/>
          <w:szCs w:val="22"/>
        </w:rPr>
      </w:pP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429A8511" w:rsidR="0047783A" w:rsidRPr="003D6B6C" w:rsidRDefault="0047783A" w:rsidP="00C1798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C17989" w:rsidRPr="00C17989">
        <w:rPr>
          <w:rFonts w:ascii="Times New Roman" w:hAnsi="Times New Roman"/>
          <w:sz w:val="22"/>
          <w:szCs w:val="22"/>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r w:rsidR="00C17989">
        <w:rPr>
          <w:rFonts w:ascii="Times New Roman" w:hAnsi="Times New Roman"/>
          <w:sz w:val="22"/>
          <w:szCs w:val="22"/>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A27AFF0" w14:textId="77777777" w:rsidR="00C17989" w:rsidRDefault="0047783A" w:rsidP="00C17989">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C17989" w:rsidRPr="004A2D84">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3F95696C" w14:textId="77777777" w:rsidR="00C17989" w:rsidRPr="000A7A9F" w:rsidRDefault="00C17989" w:rsidP="00C17989">
      <w:pPr>
        <w:ind w:left="1080" w:hanging="630"/>
        <w:jc w:val="both"/>
        <w:rPr>
          <w:rFonts w:ascii="Times New Roman" w:hAnsi="Times New Roman"/>
          <w:sz w:val="22"/>
          <w:szCs w:val="22"/>
        </w:rPr>
      </w:pPr>
      <w:r>
        <w:rPr>
          <w:rFonts w:ascii="Times New Roman" w:hAnsi="Times New Roman"/>
          <w:sz w:val="22"/>
          <w:szCs w:val="22"/>
        </w:rPr>
        <w:t xml:space="preserve">29.3    </w:t>
      </w:r>
      <w:r w:rsidRPr="000A7A9F">
        <w:rPr>
          <w:rFonts w:ascii="Times New Roman" w:hAnsi="Times New Roman"/>
          <w:sz w:val="22"/>
          <w:szCs w:val="22"/>
        </w:rPr>
        <w:t>The packaging shall become the property of the recipient subject to environmental        considerations.</w:t>
      </w:r>
    </w:p>
    <w:p w14:paraId="61FA28E7" w14:textId="77777777" w:rsidR="00C17989" w:rsidRPr="000A7A9F" w:rsidRDefault="00C17989" w:rsidP="00C17989">
      <w:pPr>
        <w:ind w:left="1134" w:hanging="709"/>
        <w:jc w:val="both"/>
        <w:rPr>
          <w:rFonts w:ascii="Times New Roman" w:hAnsi="Times New Roman"/>
          <w:b/>
          <w:sz w:val="22"/>
          <w:szCs w:val="22"/>
        </w:rPr>
      </w:pPr>
      <w:r w:rsidRPr="000A7A9F">
        <w:rPr>
          <w:rFonts w:ascii="Times New Roman" w:hAnsi="Times New Roman"/>
          <w:sz w:val="22"/>
          <w:szCs w:val="22"/>
        </w:rPr>
        <w:t xml:space="preserve"> </w:t>
      </w:r>
      <w:r w:rsidRPr="000A7A9F">
        <w:rPr>
          <w:rFonts w:ascii="Times New Roman" w:hAnsi="Times New Roman"/>
          <w:sz w:val="22"/>
          <w:szCs w:val="22"/>
        </w:rPr>
        <w:tab/>
        <w:t>Each packaged supply item must have on the outside a sticker label identifying:</w:t>
      </w:r>
    </w:p>
    <w:p w14:paraId="5500097F" w14:textId="77777777" w:rsidR="00C17989" w:rsidRPr="000A7A9F" w:rsidRDefault="00C17989" w:rsidP="00C179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a) the Supply item number,</w:t>
      </w:r>
    </w:p>
    <w:p w14:paraId="7D793655" w14:textId="77777777" w:rsidR="00C17989" w:rsidRPr="000A7A9F" w:rsidRDefault="00C17989" w:rsidP="00C179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t>b) lot number;</w:t>
      </w:r>
    </w:p>
    <w:p w14:paraId="2E265BFB" w14:textId="77777777" w:rsidR="00C17989" w:rsidRPr="000A7A9F" w:rsidRDefault="00C17989" w:rsidP="00C17989">
      <w:pPr>
        <w:tabs>
          <w:tab w:val="left" w:pos="1170"/>
        </w:tabs>
        <w:ind w:left="1170" w:hanging="36"/>
        <w:jc w:val="both"/>
        <w:rPr>
          <w:rFonts w:ascii="Times New Roman" w:hAnsi="Times New Roman"/>
          <w:sz w:val="22"/>
          <w:szCs w:val="22"/>
        </w:rPr>
      </w:pPr>
      <w:r w:rsidRPr="000A7A9F">
        <w:rPr>
          <w:rFonts w:ascii="Times New Roman" w:hAnsi="Times New Roman"/>
          <w:sz w:val="22"/>
          <w:szCs w:val="22"/>
        </w:rPr>
        <w:lastRenderedPageBreak/>
        <w:t>c) the delivery location in accordance with the delivery list provided.</w:t>
      </w:r>
    </w:p>
    <w:p w14:paraId="10A384D4" w14:textId="77777777" w:rsidR="00C17989" w:rsidRPr="000A7A9F" w:rsidRDefault="00C17989" w:rsidP="00C17989">
      <w:pPr>
        <w:tabs>
          <w:tab w:val="left" w:pos="1170"/>
        </w:tabs>
        <w:ind w:left="1170"/>
        <w:rPr>
          <w:rFonts w:ascii="Times New Roman" w:hAnsi="Times New Roman"/>
          <w:sz w:val="22"/>
          <w:szCs w:val="22"/>
        </w:rPr>
      </w:pPr>
      <w:r w:rsidRPr="000A7A9F">
        <w:rPr>
          <w:rFonts w:ascii="Times New Roman" w:hAnsi="Times New Roman"/>
          <w:sz w:val="22"/>
          <w:szCs w:val="22"/>
        </w:rPr>
        <w:t>In addition, all packages should be marked as follows:</w:t>
      </w:r>
    </w:p>
    <w:p w14:paraId="6C2B67EB" w14:textId="77777777" w:rsidR="00C17989" w:rsidRDefault="00C17989" w:rsidP="00C17989">
      <w:pPr>
        <w:ind w:left="1134" w:hanging="709"/>
        <w:jc w:val="both"/>
        <w:rPr>
          <w:rFonts w:ascii="Times New Roman" w:hAnsi="Times New Roman"/>
          <w:b/>
          <w:sz w:val="22"/>
          <w:szCs w:val="22"/>
        </w:rPr>
      </w:pPr>
    </w:p>
    <w:p w14:paraId="583E9755" w14:textId="77777777" w:rsidR="00C17989" w:rsidRDefault="00C17989" w:rsidP="00C17989">
      <w:pPr>
        <w:ind w:left="1134" w:hanging="709"/>
        <w:jc w:val="center"/>
        <w:rPr>
          <w:rFonts w:ascii="Times New Roman" w:hAnsi="Times New Roman"/>
          <w:b/>
          <w:sz w:val="22"/>
          <w:szCs w:val="22"/>
        </w:rPr>
      </w:pPr>
      <w:r w:rsidRPr="00C441D8">
        <w:rPr>
          <w:rFonts w:ascii="Times New Roman" w:hAnsi="Times New Roman"/>
          <w:noProof/>
          <w:snapToGrid/>
          <w:shd w:val="clear" w:color="auto" w:fill="CCCCCC"/>
          <w:lang w:val="en-US"/>
        </w:rPr>
        <w:drawing>
          <wp:inline distT="0" distB="0" distL="0" distR="0" wp14:anchorId="50E0511C" wp14:editId="48949230">
            <wp:extent cx="981075" cy="666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solidFill>
                      <a:srgbClr val="FFFFFF">
                        <a:alpha val="0"/>
                      </a:srgbClr>
                    </a:solidFill>
                    <a:ln>
                      <a:noFill/>
                    </a:ln>
                  </pic:spPr>
                </pic:pic>
              </a:graphicData>
            </a:graphic>
          </wp:inline>
        </w:drawing>
      </w:r>
    </w:p>
    <w:p w14:paraId="7440868C" w14:textId="77777777" w:rsidR="00C17989" w:rsidRPr="000A7A9F" w:rsidRDefault="00C17989" w:rsidP="00C17989">
      <w:pPr>
        <w:spacing w:before="0" w:after="0"/>
        <w:ind w:left="2250" w:firstLine="630"/>
        <w:rPr>
          <w:rFonts w:ascii="Times New Roman" w:hAnsi="Times New Roman"/>
          <w:bCs/>
          <w:sz w:val="22"/>
          <w:szCs w:val="22"/>
        </w:rPr>
      </w:pPr>
      <w:r>
        <w:rPr>
          <w:rFonts w:ascii="Times New Roman" w:hAnsi="Times New Roman"/>
          <w:sz w:val="22"/>
          <w:szCs w:val="22"/>
        </w:rPr>
        <w:t xml:space="preserve">  </w:t>
      </w:r>
      <w:r w:rsidRPr="000A7A9F">
        <w:rPr>
          <w:rFonts w:ascii="Times New Roman" w:hAnsi="Times New Roman"/>
          <w:bCs/>
          <w:sz w:val="22"/>
          <w:szCs w:val="22"/>
        </w:rPr>
        <w:t xml:space="preserve">Financed by the European Union </w:t>
      </w:r>
    </w:p>
    <w:p w14:paraId="6A768D90" w14:textId="77777777" w:rsidR="00C17989" w:rsidRPr="000A7A9F" w:rsidRDefault="00C17989" w:rsidP="00C17989">
      <w:pPr>
        <w:spacing w:before="0" w:after="0"/>
        <w:ind w:left="2945"/>
        <w:rPr>
          <w:rFonts w:ascii="Times New Roman" w:hAnsi="Times New Roman"/>
          <w:b/>
          <w:bCs/>
          <w:sz w:val="22"/>
          <w:szCs w:val="22"/>
        </w:rPr>
      </w:pPr>
      <w:r w:rsidRPr="000A7A9F">
        <w:rPr>
          <w:rFonts w:ascii="Times New Roman" w:hAnsi="Times New Roman"/>
          <w:b/>
          <w:bCs/>
          <w:sz w:val="22"/>
          <w:szCs w:val="22"/>
        </w:rPr>
        <w:t xml:space="preserve">       EUROPEAN UNION</w:t>
      </w:r>
    </w:p>
    <w:p w14:paraId="6121ABF2" w14:textId="666FB699" w:rsidR="00C17989" w:rsidRDefault="00C17989" w:rsidP="00C17989">
      <w:pPr>
        <w:spacing w:before="60" w:after="0"/>
        <w:ind w:left="1134"/>
        <w:jc w:val="both"/>
        <w:rPr>
          <w:rFonts w:ascii="Times New Roman" w:hAnsi="Times New Roman"/>
          <w:sz w:val="22"/>
          <w:szCs w:val="22"/>
        </w:rPr>
      </w:pPr>
      <w:r w:rsidRPr="000A7A9F">
        <w:rPr>
          <w:rFonts w:ascii="Times New Roman" w:hAnsi="Times New Roman"/>
          <w:b/>
          <w:sz w:val="22"/>
          <w:szCs w:val="22"/>
        </w:rPr>
        <w:t xml:space="preserve">Contract Title: </w:t>
      </w:r>
      <w:r>
        <w:rPr>
          <w:rFonts w:ascii="Times New Roman" w:hAnsi="Times New Roman"/>
          <w:b/>
          <w:sz w:val="22"/>
          <w:szCs w:val="22"/>
        </w:rPr>
        <w:t>“Supply of equipment for communicable disease surveillance and for emergency situations</w:t>
      </w:r>
      <w:r>
        <w:rPr>
          <w:rFonts w:ascii="Times New Roman" w:hAnsi="Times New Roman"/>
          <w:b/>
          <w:bCs/>
          <w:sz w:val="22"/>
          <w:szCs w:val="22"/>
        </w:rPr>
        <w:t>”</w:t>
      </w:r>
      <w:r w:rsidRPr="00E73206" w:rsidDel="00854D31">
        <w:rPr>
          <w:rFonts w:ascii="Times New Roman" w:hAnsi="Times New Roman"/>
          <w:b/>
          <w:sz w:val="22"/>
          <w:szCs w:val="22"/>
        </w:rPr>
        <w:t xml:space="preserve"> </w:t>
      </w:r>
    </w:p>
    <w:p w14:paraId="63CE4C90" w14:textId="219C46E2" w:rsidR="00C17989" w:rsidRPr="00040528" w:rsidRDefault="00C17989" w:rsidP="00C17989">
      <w:pPr>
        <w:spacing w:before="60" w:after="0"/>
        <w:ind w:left="1134"/>
        <w:jc w:val="both"/>
        <w:rPr>
          <w:rFonts w:ascii="Times New Roman" w:hAnsi="Times New Roman"/>
          <w:sz w:val="22"/>
          <w:lang w:val="sr-Latn-RS"/>
        </w:rPr>
      </w:pPr>
      <w:r w:rsidRPr="000A7A9F">
        <w:rPr>
          <w:rFonts w:ascii="Times New Roman" w:hAnsi="Times New Roman"/>
          <w:b/>
          <w:sz w:val="22"/>
          <w:szCs w:val="22"/>
        </w:rPr>
        <w:t>Identification number</w:t>
      </w:r>
      <w:r w:rsidR="00887C7C">
        <w:rPr>
          <w:rFonts w:ascii="Times New Roman" w:hAnsi="Times New Roman"/>
          <w:b/>
          <w:sz w:val="22"/>
          <w:szCs w:val="22"/>
          <w:lang w:val="sr-Latn-RS"/>
        </w:rPr>
        <w:t xml:space="preserve">: </w:t>
      </w:r>
      <w:r w:rsidR="00887C7C">
        <w:rPr>
          <w:rFonts w:ascii="Times New Roman" w:hAnsi="Times New Roman"/>
          <w:b/>
          <w:sz w:val="22"/>
          <w:lang w:val="sr-Latn-RS"/>
        </w:rPr>
        <w:t>NEAR/BEG/2022/EA-OP/0219</w:t>
      </w:r>
    </w:p>
    <w:p w14:paraId="7C5C0E7E" w14:textId="7F1CEA04" w:rsidR="00C17989" w:rsidRPr="000A7A9F" w:rsidRDefault="00C17989" w:rsidP="00C17989">
      <w:pPr>
        <w:spacing w:before="60" w:after="0"/>
        <w:ind w:left="1134"/>
        <w:jc w:val="both"/>
        <w:rPr>
          <w:rFonts w:ascii="Times New Roman" w:hAnsi="Times New Roman"/>
          <w:b/>
          <w:sz w:val="22"/>
          <w:szCs w:val="22"/>
        </w:rPr>
      </w:pPr>
      <w:r w:rsidRPr="000A7A9F">
        <w:rPr>
          <w:rFonts w:ascii="Times New Roman" w:hAnsi="Times New Roman"/>
          <w:b/>
          <w:sz w:val="22"/>
          <w:szCs w:val="22"/>
        </w:rPr>
        <w:t xml:space="preserve">Contract No: </w:t>
      </w:r>
      <w:r>
        <w:rPr>
          <w:rFonts w:ascii="Times New Roman" w:hAnsi="Times New Roman"/>
          <w:b/>
          <w:sz w:val="22"/>
          <w:szCs w:val="22"/>
        </w:rPr>
        <w:t>48-00-3/2022</w:t>
      </w:r>
      <w:r w:rsidRPr="00503D39">
        <w:rPr>
          <w:rFonts w:ascii="Times New Roman" w:hAnsi="Times New Roman"/>
          <w:b/>
          <w:sz w:val="22"/>
          <w:szCs w:val="22"/>
        </w:rPr>
        <w:t>-28</w:t>
      </w:r>
    </w:p>
    <w:p w14:paraId="72A50456" w14:textId="77777777" w:rsidR="00C17989" w:rsidRDefault="00C17989" w:rsidP="00C17989">
      <w:pPr>
        <w:ind w:left="1134"/>
        <w:jc w:val="both"/>
        <w:rPr>
          <w:rFonts w:ascii="Times New Roman" w:hAnsi="Times New Roman"/>
          <w:sz w:val="22"/>
          <w:szCs w:val="22"/>
        </w:rPr>
      </w:pPr>
      <w:r w:rsidRPr="000A7A9F">
        <w:rPr>
          <w:rFonts w:ascii="Times New Roman" w:hAnsi="Times New Roman"/>
          <w:sz w:val="22"/>
          <w:szCs w:val="22"/>
        </w:rPr>
        <w:t>Plastic stickers dim. 50x50 mm or 200x200 mm (as applicable) of the EU logo (pattern to be agreed after contract signature with Contracting Authority) must be fixed on each item supplied.</w:t>
      </w:r>
    </w:p>
    <w:p w14:paraId="3FA44E27" w14:textId="77777777" w:rsidR="00C17989" w:rsidRPr="003D6B6C" w:rsidRDefault="00C17989" w:rsidP="00C17989">
      <w:pPr>
        <w:ind w:left="990" w:hanging="565"/>
        <w:jc w:val="both"/>
        <w:rPr>
          <w:rFonts w:ascii="Times New Roman" w:hAnsi="Times New Roman"/>
          <w:b/>
          <w:sz w:val="22"/>
          <w:szCs w:val="22"/>
        </w:rPr>
      </w:pPr>
      <w:r>
        <w:rPr>
          <w:rFonts w:ascii="Times New Roman" w:hAnsi="Times New Roman"/>
          <w:sz w:val="22"/>
          <w:szCs w:val="22"/>
        </w:rPr>
        <w:t xml:space="preserve">29.4    </w:t>
      </w:r>
      <w:r w:rsidRPr="000A7A9F">
        <w:rPr>
          <w:rFonts w:ascii="Times New Roman" w:hAnsi="Times New Roman"/>
          <w:sz w:val="22"/>
          <w:szCs w:val="22"/>
        </w:rPr>
        <w:t>The Contractor shall request from the Project Manager, 15 days prior to the delivery to the place of acceptance, permission to proceed with delivery. The request for approval must be accompanied by a copy of the Certificate of Origin and a copy of the detailed packing list</w:t>
      </w:r>
    </w:p>
    <w:p w14:paraId="1D571233" w14:textId="77777777" w:rsidR="00C17989" w:rsidRPr="000A7A9F" w:rsidRDefault="00C17989" w:rsidP="00C17989">
      <w:pPr>
        <w:spacing w:after="0"/>
        <w:jc w:val="both"/>
        <w:rPr>
          <w:rFonts w:ascii="Times New Roman" w:hAnsi="Times New Roman"/>
          <w:sz w:val="22"/>
        </w:rPr>
      </w:pPr>
      <w:r w:rsidRPr="003D6B6C">
        <w:rPr>
          <w:rFonts w:ascii="Times New Roman" w:hAnsi="Times New Roman"/>
          <w:sz w:val="22"/>
          <w:szCs w:val="22"/>
        </w:rPr>
        <w:t>29.5/6/7</w:t>
      </w:r>
      <w:r>
        <w:rPr>
          <w:rFonts w:ascii="Times New Roman" w:hAnsi="Times New Roman"/>
          <w:sz w:val="22"/>
          <w:szCs w:val="22"/>
        </w:rPr>
        <w:t xml:space="preserve">     </w:t>
      </w:r>
      <w:r w:rsidRPr="000A7A9F">
        <w:rPr>
          <w:rFonts w:ascii="Times New Roman" w:hAnsi="Times New Roman"/>
          <w:sz w:val="22"/>
        </w:rPr>
        <w:t>Each delivery shall be accompanied by the following documents:</w:t>
      </w:r>
    </w:p>
    <w:p w14:paraId="3061F4D0" w14:textId="77777777" w:rsidR="00C17989" w:rsidRPr="000A7A9F" w:rsidRDefault="00C17989" w:rsidP="00C17989">
      <w:pPr>
        <w:numPr>
          <w:ilvl w:val="0"/>
          <w:numId w:val="25"/>
        </w:numPr>
        <w:spacing w:after="0"/>
        <w:rPr>
          <w:rFonts w:ascii="Times New Roman" w:hAnsi="Times New Roman"/>
          <w:sz w:val="22"/>
        </w:rPr>
      </w:pPr>
      <w:r w:rsidRPr="000A7A9F">
        <w:rPr>
          <w:rFonts w:ascii="Times New Roman" w:hAnsi="Times New Roman"/>
          <w:sz w:val="22"/>
        </w:rPr>
        <w:t>User/Maintenance Manuals</w:t>
      </w:r>
    </w:p>
    <w:p w14:paraId="38F99193" w14:textId="77777777" w:rsidR="00C17989" w:rsidRPr="000A7A9F" w:rsidRDefault="00C17989" w:rsidP="00C17989">
      <w:pPr>
        <w:numPr>
          <w:ilvl w:val="0"/>
          <w:numId w:val="25"/>
        </w:numPr>
        <w:rPr>
          <w:rFonts w:ascii="Times New Roman" w:hAnsi="Times New Roman"/>
          <w:sz w:val="22"/>
        </w:rPr>
      </w:pPr>
      <w:r w:rsidRPr="000A7A9F">
        <w:rPr>
          <w:rFonts w:ascii="Times New Roman" w:hAnsi="Times New Roman"/>
          <w:sz w:val="22"/>
        </w:rPr>
        <w:t>Packing list</w:t>
      </w:r>
    </w:p>
    <w:p w14:paraId="59528F37" w14:textId="77777777" w:rsidR="00C17989" w:rsidRPr="000A7A9F" w:rsidRDefault="00C17989" w:rsidP="00C17989">
      <w:pPr>
        <w:numPr>
          <w:ilvl w:val="0"/>
          <w:numId w:val="25"/>
        </w:numPr>
        <w:rPr>
          <w:rFonts w:ascii="Times New Roman" w:hAnsi="Times New Roman"/>
          <w:sz w:val="22"/>
        </w:rPr>
      </w:pPr>
      <w:r w:rsidRPr="000A7A9F">
        <w:rPr>
          <w:rFonts w:ascii="Times New Roman" w:hAnsi="Times New Roman"/>
          <w:sz w:val="22"/>
        </w:rPr>
        <w:t>Certificate of origin</w:t>
      </w:r>
    </w:p>
    <w:p w14:paraId="4F4D1083" w14:textId="77777777" w:rsidR="00C17989" w:rsidRPr="000A7A9F" w:rsidRDefault="00C17989" w:rsidP="00C17989">
      <w:pPr>
        <w:numPr>
          <w:ilvl w:val="0"/>
          <w:numId w:val="25"/>
        </w:numPr>
        <w:spacing w:before="0"/>
        <w:rPr>
          <w:rFonts w:ascii="Times New Roman" w:hAnsi="Times New Roman"/>
          <w:sz w:val="22"/>
        </w:rPr>
      </w:pPr>
      <w:r w:rsidRPr="000A7A9F">
        <w:rPr>
          <w:rFonts w:ascii="Times New Roman" w:hAnsi="Times New Roman"/>
          <w:sz w:val="22"/>
        </w:rPr>
        <w:t>Warranty Certificate</w:t>
      </w:r>
    </w:p>
    <w:p w14:paraId="5A7F6221" w14:textId="77777777" w:rsidR="00C17989" w:rsidRPr="000A7A9F" w:rsidRDefault="00C17989" w:rsidP="00C17989">
      <w:pPr>
        <w:numPr>
          <w:ilvl w:val="0"/>
          <w:numId w:val="25"/>
        </w:numPr>
        <w:spacing w:before="0" w:after="100" w:afterAutospacing="1"/>
        <w:jc w:val="both"/>
        <w:rPr>
          <w:rFonts w:ascii="Times New Roman" w:hAnsi="Times New Roman"/>
          <w:sz w:val="22"/>
          <w:szCs w:val="22"/>
        </w:rPr>
      </w:pPr>
      <w:r w:rsidRPr="000A7A9F">
        <w:rPr>
          <w:rFonts w:ascii="Times New Roman" w:hAnsi="Times New Roman"/>
          <w:sz w:val="22"/>
          <w:szCs w:val="22"/>
        </w:rPr>
        <w:t>Statement drawn up by the Contractor which must attest that the delivered goods are new, in working order and compliant with all technical specifications of the Tender dossier. This statement must use the following wording:</w:t>
      </w:r>
    </w:p>
    <w:p w14:paraId="63E48572" w14:textId="77777777" w:rsidR="00C17989" w:rsidRDefault="00C17989" w:rsidP="00C17989">
      <w:pPr>
        <w:spacing w:before="0" w:after="100" w:afterAutospacing="1"/>
        <w:ind w:left="2160"/>
        <w:jc w:val="both"/>
        <w:rPr>
          <w:rFonts w:ascii="Times New Roman" w:hAnsi="Times New Roman"/>
          <w:sz w:val="22"/>
          <w:szCs w:val="22"/>
        </w:rPr>
      </w:pPr>
      <w:r w:rsidRPr="000A7A9F">
        <w:rPr>
          <w:rFonts w:ascii="Times New Roman" w:hAnsi="Times New Roman"/>
          <w:sz w:val="22"/>
          <w:szCs w:val="22"/>
        </w:rPr>
        <w:t>&lt;Full official name of Contractor&gt; attests that the delivered goods are new, in working order and compliant with all technical specifications of the Tender dossier.”</w:t>
      </w:r>
    </w:p>
    <w:p w14:paraId="0A911D52" w14:textId="4981DDE6" w:rsidR="0047783A" w:rsidRPr="003D6B6C" w:rsidRDefault="0047783A" w:rsidP="00C17989">
      <w:pPr>
        <w:ind w:left="1134" w:hanging="709"/>
        <w:jc w:val="both"/>
        <w:rPr>
          <w:rFonts w:ascii="Times New Roman" w:hAnsi="Times New Roman"/>
          <w:sz w:val="22"/>
          <w:szCs w:val="22"/>
        </w:rPr>
      </w:pPr>
    </w:p>
    <w:p w14:paraId="7C1E7DCB" w14:textId="28B61C91" w:rsidR="0047783A"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132F0ECC" w14:textId="77777777" w:rsidR="008E69B7" w:rsidRDefault="008E69B7" w:rsidP="008E69B7">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p>
    <w:p w14:paraId="0F575119" w14:textId="77777777" w:rsidR="008E69B7" w:rsidRDefault="008E69B7" w:rsidP="008E69B7">
      <w:pPr>
        <w:spacing w:before="0"/>
        <w:jc w:val="both"/>
        <w:rPr>
          <w:rFonts w:ascii="Times New Roman" w:hAnsi="Times New Roman"/>
          <w:sz w:val="22"/>
          <w:szCs w:val="22"/>
          <w:lang w:val="en-US"/>
        </w:rPr>
      </w:pPr>
      <w:r w:rsidRPr="00CA4852">
        <w:rPr>
          <w:rFonts w:ascii="Times New Roman" w:hAnsi="Times New Roman"/>
          <w:sz w:val="22"/>
          <w:szCs w:val="22"/>
          <w:lang w:val="en-US"/>
        </w:rPr>
        <w:t>The supplies shall be taken over by the Contracting Authority when they have be</w:t>
      </w:r>
      <w:r>
        <w:rPr>
          <w:rFonts w:ascii="Times New Roman" w:hAnsi="Times New Roman"/>
          <w:sz w:val="22"/>
          <w:szCs w:val="22"/>
          <w:lang w:val="en-US"/>
        </w:rPr>
        <w:t>en</w:t>
      </w:r>
      <w:r w:rsidRPr="00CA4852">
        <w:rPr>
          <w:rFonts w:ascii="Times New Roman" w:hAnsi="Times New Roman"/>
          <w:sz w:val="22"/>
          <w:szCs w:val="22"/>
          <w:lang w:val="en-US"/>
        </w:rPr>
        <w:t xml:space="preserve"> delivered in accordance with the </w:t>
      </w:r>
      <w:r>
        <w:rPr>
          <w:rFonts w:ascii="Times New Roman" w:hAnsi="Times New Roman"/>
          <w:sz w:val="22"/>
          <w:szCs w:val="22"/>
          <w:lang w:val="en-US"/>
        </w:rPr>
        <w:t>Contract</w:t>
      </w:r>
      <w:r w:rsidRPr="00CA4852">
        <w:rPr>
          <w:rFonts w:ascii="Times New Roman" w:hAnsi="Times New Roman"/>
          <w:sz w:val="22"/>
          <w:szCs w:val="22"/>
          <w:lang w:val="en-US"/>
        </w:rPr>
        <w:t xml:space="preserve">, </w:t>
      </w:r>
      <w:r>
        <w:rPr>
          <w:rFonts w:ascii="Times New Roman" w:hAnsi="Times New Roman"/>
          <w:sz w:val="22"/>
          <w:szCs w:val="22"/>
          <w:lang w:val="en-US"/>
        </w:rPr>
        <w:t xml:space="preserve">have been installed </w:t>
      </w:r>
      <w:r w:rsidRPr="0041281C">
        <w:rPr>
          <w:rFonts w:ascii="Times New Roman" w:hAnsi="Times New Roman"/>
          <w:sz w:val="22"/>
          <w:szCs w:val="22"/>
          <w:lang w:val="en-US"/>
        </w:rPr>
        <w:t>or have been commissioned as the case may be,</w:t>
      </w:r>
      <w:r>
        <w:rPr>
          <w:rFonts w:ascii="Times New Roman" w:hAnsi="Times New Roman"/>
          <w:sz w:val="22"/>
          <w:szCs w:val="22"/>
          <w:lang w:val="en-US"/>
        </w:rPr>
        <w:t xml:space="preserve"> </w:t>
      </w:r>
      <w:r w:rsidRPr="00CA4852">
        <w:rPr>
          <w:rFonts w:ascii="Times New Roman" w:hAnsi="Times New Roman"/>
          <w:sz w:val="22"/>
          <w:szCs w:val="22"/>
          <w:lang w:val="en-US"/>
        </w:rPr>
        <w:t xml:space="preserve">have </w:t>
      </w:r>
      <w:r>
        <w:rPr>
          <w:rFonts w:ascii="Times New Roman" w:hAnsi="Times New Roman"/>
          <w:sz w:val="22"/>
          <w:szCs w:val="22"/>
          <w:lang w:val="en-US"/>
        </w:rPr>
        <w:t xml:space="preserve">been </w:t>
      </w:r>
      <w:r w:rsidRPr="00CA4852">
        <w:rPr>
          <w:rFonts w:ascii="Times New Roman" w:hAnsi="Times New Roman"/>
          <w:sz w:val="22"/>
          <w:szCs w:val="22"/>
          <w:lang w:val="en-US"/>
        </w:rPr>
        <w:t xml:space="preserve">satisfactory passed the </w:t>
      </w:r>
      <w:r>
        <w:rPr>
          <w:rFonts w:ascii="Times New Roman" w:hAnsi="Times New Roman"/>
          <w:sz w:val="22"/>
          <w:szCs w:val="22"/>
          <w:lang w:val="en-US"/>
        </w:rPr>
        <w:t>required tests</w:t>
      </w:r>
      <w:r w:rsidRPr="00CA4852">
        <w:rPr>
          <w:rFonts w:ascii="Times New Roman" w:hAnsi="Times New Roman"/>
          <w:sz w:val="22"/>
          <w:szCs w:val="22"/>
          <w:lang w:val="en-US"/>
        </w:rPr>
        <w:t xml:space="preserve">, and a certificate of provisional acceptance has been issued or is deemed to be issued. </w:t>
      </w:r>
      <w:r>
        <w:rPr>
          <w:rFonts w:ascii="Times New Roman" w:hAnsi="Times New Roman"/>
          <w:sz w:val="22"/>
          <w:szCs w:val="22"/>
          <w:lang w:val="en-US"/>
        </w:rPr>
        <w:t>The Contracting Authority may appoint its representative to perform provisional acceptance/inspection on its behalf.</w:t>
      </w:r>
    </w:p>
    <w:p w14:paraId="23CEED46" w14:textId="77777777" w:rsidR="008E69B7" w:rsidRDefault="008E69B7" w:rsidP="008E69B7">
      <w:pPr>
        <w:spacing w:before="0" w:after="0"/>
        <w:jc w:val="both"/>
        <w:rPr>
          <w:rFonts w:ascii="Times New Roman" w:hAnsi="Times New Roman"/>
          <w:sz w:val="22"/>
          <w:szCs w:val="22"/>
        </w:rPr>
      </w:pPr>
      <w:r w:rsidRPr="00854006">
        <w:rPr>
          <w:rFonts w:ascii="Times New Roman" w:hAnsi="Times New Roman"/>
          <w:sz w:val="22"/>
          <w:szCs w:val="22"/>
        </w:rPr>
        <w:t xml:space="preserve">With provisional acceptance, the Beneficiary Institutions acquires full title and ownership to the goods supplied and the right to make full and unimpaired use of the supplies delivered. </w:t>
      </w:r>
    </w:p>
    <w:p w14:paraId="54714AF4" w14:textId="77777777" w:rsidR="008E69B7" w:rsidRPr="003D6B6C" w:rsidRDefault="008E69B7" w:rsidP="008E69B7">
      <w:pPr>
        <w:jc w:val="both"/>
        <w:rPr>
          <w:rFonts w:ascii="Times New Roman" w:hAnsi="Times New Roman"/>
          <w:sz w:val="22"/>
          <w:szCs w:val="22"/>
        </w:rPr>
      </w:pPr>
      <w:r>
        <w:rPr>
          <w:rFonts w:ascii="Times New Roman" w:hAnsi="Times New Roman"/>
          <w:sz w:val="22"/>
          <w:szCs w:val="22"/>
        </w:rPr>
        <w:t>All provisions stipulated in Article 31 in the General Conditions remain applicable.</w:t>
      </w:r>
    </w:p>
    <w:p w14:paraId="6D72A337" w14:textId="77777777" w:rsidR="008E69B7" w:rsidRPr="003D6B6C" w:rsidRDefault="008E69B7" w:rsidP="00B34179">
      <w:pPr>
        <w:spacing w:before="240"/>
        <w:ind w:left="1134" w:hanging="1134"/>
        <w:jc w:val="both"/>
        <w:rPr>
          <w:rFonts w:ascii="Times New Roman" w:hAnsi="Times New Roman"/>
          <w:b/>
          <w:sz w:val="24"/>
          <w:szCs w:val="24"/>
        </w:rPr>
      </w:pPr>
    </w:p>
    <w:p w14:paraId="6D19FB26" w14:textId="395585B4" w:rsidR="0047783A"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20F71938" w14:textId="5CFF1BD2" w:rsidR="008E69B7" w:rsidRPr="008E69B7" w:rsidRDefault="008E69B7" w:rsidP="008E69B7">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0A7A9F">
        <w:rPr>
          <w:rFonts w:ascii="Times New Roman" w:hAnsi="Times New Roman"/>
          <w:sz w:val="22"/>
          <w:szCs w:val="22"/>
        </w:rPr>
        <w:t xml:space="preserve">The warranty must remain valid for </w:t>
      </w:r>
      <w:r>
        <w:rPr>
          <w:rFonts w:ascii="Times New Roman" w:hAnsi="Times New Roman"/>
          <w:sz w:val="22"/>
          <w:szCs w:val="22"/>
        </w:rPr>
        <w:t xml:space="preserve">365 days </w:t>
      </w:r>
      <w:r w:rsidRPr="000A7A9F">
        <w:rPr>
          <w:rFonts w:ascii="Times New Roman" w:hAnsi="Times New Roman"/>
          <w:sz w:val="22"/>
          <w:szCs w:val="22"/>
        </w:rPr>
        <w:t>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6962B955"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E69B7">
        <w:rPr>
          <w:rFonts w:ascii="Times New Roman" w:hAnsi="Times New Roman"/>
          <w:sz w:val="22"/>
          <w:szCs w:val="22"/>
        </w:rPr>
        <w:t>No after-sales service is foreseen.</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62BF1BC2" w14:textId="77777777" w:rsidR="008E69B7" w:rsidRPr="003D6B6C" w:rsidRDefault="008E69B7" w:rsidP="008E69B7">
      <w:pPr>
        <w:ind w:left="1134" w:hanging="708"/>
        <w:jc w:val="both"/>
        <w:rPr>
          <w:rFonts w:ascii="Times New Roman" w:hAnsi="Times New Roman"/>
          <w:sz w:val="22"/>
          <w:szCs w:val="22"/>
          <w:highlight w:val="yellow"/>
        </w:rPr>
      </w:pPr>
      <w:r w:rsidRPr="003D6B6C">
        <w:rPr>
          <w:rFonts w:ascii="Times New Roman" w:hAnsi="Times New Roman"/>
          <w:sz w:val="22"/>
          <w:szCs w:val="22"/>
        </w:rPr>
        <w:t>40.4</w:t>
      </w:r>
      <w:r w:rsidRPr="003D6B6C">
        <w:rPr>
          <w:rFonts w:ascii="Times New Roman" w:hAnsi="Times New Roman"/>
          <w:sz w:val="22"/>
          <w:szCs w:val="22"/>
        </w:rPr>
        <w:tab/>
      </w:r>
      <w:r w:rsidRPr="00E731F4">
        <w:rPr>
          <w:rFonts w:ascii="Times New Roman" w:hAnsi="Times New Roman"/>
          <w:sz w:val="22"/>
          <w:szCs w:val="22"/>
        </w:rPr>
        <w:t xml:space="preserve">Any disputes arising out of or relating to this Contract which cannot be settled otherwise shall be referred to the exclusive jurisdiction of </w:t>
      </w:r>
      <w:r>
        <w:rPr>
          <w:rFonts w:ascii="Times New Roman" w:hAnsi="Times New Roman"/>
          <w:sz w:val="22"/>
          <w:szCs w:val="22"/>
        </w:rPr>
        <w:t xml:space="preserve">the Republic of Serbia </w:t>
      </w:r>
      <w:r w:rsidRPr="00E731F4">
        <w:rPr>
          <w:rFonts w:ascii="Times New Roman" w:hAnsi="Times New Roman"/>
          <w:sz w:val="22"/>
          <w:szCs w:val="22"/>
        </w:rPr>
        <w:t>in accordance with the national legislation of the state of the Contracting Authority.</w:t>
      </w:r>
    </w:p>
    <w:p w14:paraId="32FDF6D7" w14:textId="4938F9F4"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8E69B7" w:rsidRDefault="00407C90" w:rsidP="00407C90">
      <w:pPr>
        <w:keepNext/>
        <w:keepLines/>
        <w:tabs>
          <w:tab w:val="left" w:pos="1134"/>
        </w:tabs>
        <w:spacing w:before="240"/>
        <w:ind w:left="1134" w:hanging="1134"/>
        <w:rPr>
          <w:rFonts w:ascii="Times New Roman" w:hAnsi="Times New Roman"/>
          <w:b/>
          <w:sz w:val="24"/>
          <w:szCs w:val="24"/>
        </w:rPr>
      </w:pPr>
      <w:r w:rsidRPr="008E69B7">
        <w:rPr>
          <w:rFonts w:ascii="Times New Roman" w:hAnsi="Times New Roman"/>
          <w:b/>
          <w:sz w:val="24"/>
          <w:szCs w:val="24"/>
        </w:rPr>
        <w:t>Article 44</w:t>
      </w:r>
      <w:r w:rsidRPr="008E69B7">
        <w:rPr>
          <w:rFonts w:ascii="Times New Roman" w:hAnsi="Times New Roman"/>
          <w:b/>
          <w:sz w:val="24"/>
          <w:szCs w:val="24"/>
        </w:rPr>
        <w:tab/>
        <w:t xml:space="preserve">Data </w:t>
      </w:r>
      <w:r w:rsidR="00686E07" w:rsidRPr="008E69B7">
        <w:rPr>
          <w:rFonts w:ascii="Times New Roman" w:hAnsi="Times New Roman"/>
          <w:b/>
          <w:sz w:val="24"/>
          <w:szCs w:val="24"/>
        </w:rPr>
        <w:t>p</w:t>
      </w:r>
      <w:r w:rsidRPr="008E69B7">
        <w:rPr>
          <w:rFonts w:ascii="Times New Roman" w:hAnsi="Times New Roman"/>
          <w:b/>
          <w:sz w:val="24"/>
          <w:szCs w:val="24"/>
        </w:rPr>
        <w:t>rotection</w:t>
      </w:r>
    </w:p>
    <w:p w14:paraId="5F3FDACE" w14:textId="2FF49438" w:rsidR="009F7E6A" w:rsidRPr="008E69B7" w:rsidRDefault="008E69B7" w:rsidP="009F7E6A">
      <w:pPr>
        <w:jc w:val="both"/>
        <w:rPr>
          <w:rFonts w:ascii="Times New Roman" w:hAnsi="Times New Roman"/>
          <w:sz w:val="22"/>
          <w:szCs w:val="22"/>
        </w:rPr>
      </w:pPr>
      <w:r w:rsidRPr="008E69B7">
        <w:rPr>
          <w:rFonts w:ascii="Times New Roman" w:hAnsi="Times New Roman"/>
          <w:sz w:val="22"/>
          <w:szCs w:val="22"/>
        </w:rPr>
        <w:t xml:space="preserve"> </w:t>
      </w:r>
      <w:r w:rsidR="009F7E6A" w:rsidRPr="008E69B7">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27F74EA0" w:rsidR="009F7E6A" w:rsidRPr="00F4288C" w:rsidRDefault="009F7E6A" w:rsidP="009F7E6A">
      <w:pPr>
        <w:jc w:val="both"/>
        <w:rPr>
          <w:rFonts w:ascii="Times New Roman" w:hAnsi="Times New Roman"/>
          <w:sz w:val="22"/>
          <w:szCs w:val="22"/>
          <w:u w:val="single"/>
        </w:rPr>
      </w:pPr>
      <w:r w:rsidRPr="008E69B7">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E69B7">
        <w:rPr>
          <w:rFonts w:ascii="Times New Roman" w:hAnsi="Times New Roman"/>
          <w:sz w:val="22"/>
          <w:szCs w:val="22"/>
        </w:rPr>
        <w:t>personnel</w:t>
      </w:r>
      <w:r w:rsidRPr="008E69B7">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E69B7">
        <w:rPr>
          <w:rStyle w:val="FootnoteReference"/>
          <w:rFonts w:ascii="Times New Roman" w:hAnsi="Times New Roman"/>
          <w:sz w:val="22"/>
          <w:szCs w:val="22"/>
        </w:rPr>
        <w:footnoteReference w:id="2"/>
      </w:r>
      <w:r w:rsidRPr="008E69B7">
        <w:rPr>
          <w:rFonts w:ascii="Times New Roman" w:hAnsi="Times New Roman"/>
          <w:sz w:val="22"/>
          <w:szCs w:val="22"/>
        </w:rPr>
        <w:t xml:space="preserve"> and as detailed in the specific privacy statement published at </w:t>
      </w:r>
      <w:proofErr w:type="spellStart"/>
      <w:r w:rsidRPr="008E69B7">
        <w:rPr>
          <w:rFonts w:ascii="Times New Roman" w:hAnsi="Times New Roman"/>
          <w:sz w:val="22"/>
          <w:szCs w:val="22"/>
        </w:rPr>
        <w:t>ePRAG</w:t>
      </w:r>
      <w:proofErr w:type="spellEnd"/>
      <w:r w:rsidRPr="008E69B7">
        <w:rPr>
          <w:rFonts w:ascii="Times New Roman" w:hAnsi="Times New Roman"/>
          <w:sz w:val="22"/>
          <w:szCs w:val="22"/>
        </w:rPr>
        <w:t>.</w:t>
      </w:r>
    </w:p>
    <w:p w14:paraId="3923CB65" w14:textId="6E4F7A50" w:rsidR="00951D3A" w:rsidRDefault="009F7E6A" w:rsidP="00951D3A">
      <w:pPr>
        <w:pStyle w:val="ListNumber"/>
        <w:numPr>
          <w:ilvl w:val="0"/>
          <w:numId w:val="0"/>
        </w:numPr>
        <w:spacing w:before="240"/>
        <w:ind w:left="1134" w:hanging="1134"/>
        <w:rPr>
          <w:b/>
          <w:szCs w:val="24"/>
        </w:rPr>
      </w:pPr>
      <w:r w:rsidRPr="008E69B7" w:rsidDel="009F7E6A">
        <w:rPr>
          <w:sz w:val="22"/>
          <w:szCs w:val="22"/>
        </w:rPr>
        <w:t xml:space="preserve"> </w:t>
      </w:r>
      <w:r w:rsidR="00951D3A" w:rsidRPr="00C441D8">
        <w:rPr>
          <w:b/>
          <w:szCs w:val="24"/>
        </w:rPr>
        <w:t>Article 45</w:t>
      </w:r>
      <w:r w:rsidR="00951D3A" w:rsidRPr="00C441D8">
        <w:rPr>
          <w:b/>
          <w:szCs w:val="24"/>
        </w:rPr>
        <w:tab/>
        <w:t>Further additional clauses</w:t>
      </w:r>
    </w:p>
    <w:p w14:paraId="7A143CE7" w14:textId="21902925" w:rsidR="004931D2" w:rsidRPr="004931D2" w:rsidRDefault="004931D2" w:rsidP="00951D3A">
      <w:pPr>
        <w:pStyle w:val="ListNumber"/>
        <w:numPr>
          <w:ilvl w:val="0"/>
          <w:numId w:val="0"/>
        </w:numPr>
        <w:spacing w:before="240"/>
        <w:ind w:left="1134" w:hanging="1134"/>
        <w:rPr>
          <w:sz w:val="22"/>
          <w:szCs w:val="24"/>
        </w:rPr>
      </w:pPr>
      <w:r w:rsidRPr="004931D2">
        <w:rPr>
          <w:sz w:val="22"/>
          <w:szCs w:val="24"/>
        </w:rPr>
        <w:t>N/A</w:t>
      </w:r>
    </w:p>
    <w:p w14:paraId="0BB191E9" w14:textId="1C196EC6" w:rsidR="00B605B6" w:rsidRPr="003D6B6C" w:rsidRDefault="00B605B6" w:rsidP="00872DA7">
      <w:pPr>
        <w:pStyle w:val="ListNumber"/>
        <w:numPr>
          <w:ilvl w:val="0"/>
          <w:numId w:val="0"/>
        </w:numPr>
        <w:spacing w:before="240"/>
        <w:ind w:left="1134" w:hanging="1134"/>
        <w:rPr>
          <w:b/>
          <w:szCs w:val="24"/>
        </w:rPr>
      </w:pP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3"/>
      <w:footerReference w:type="default" r:id="rId14"/>
      <w:footerReference w:type="first" r:id="rId15"/>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0CEA7" w14:textId="77777777" w:rsidR="009B1773" w:rsidRPr="006A5F84" w:rsidRDefault="009B1773">
      <w:r w:rsidRPr="006A5F84">
        <w:separator/>
      </w:r>
    </w:p>
  </w:endnote>
  <w:endnote w:type="continuationSeparator" w:id="0">
    <w:p w14:paraId="4658D4A7" w14:textId="77777777" w:rsidR="009B1773" w:rsidRPr="006A5F84" w:rsidRDefault="009B177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5F2D674D"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4C77AB">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4C77AB">
      <w:rPr>
        <w:rStyle w:val="PageNumber"/>
        <w:rFonts w:ascii="Times New Roman" w:hAnsi="Times New Roman"/>
        <w:noProof/>
        <w:sz w:val="18"/>
        <w:szCs w:val="18"/>
        <w:lang w:val="en-GB"/>
      </w:rPr>
      <w:t>7</w:t>
    </w:r>
    <w:r w:rsidR="007E36E3" w:rsidRPr="009423FB">
      <w:rPr>
        <w:rStyle w:val="PageNumber"/>
        <w:rFonts w:ascii="Times New Roman" w:hAnsi="Times New Roman"/>
        <w:sz w:val="18"/>
        <w:szCs w:val="18"/>
      </w:rPr>
      <w:fldChar w:fldCharType="end"/>
    </w:r>
  </w:p>
  <w:p w14:paraId="32214240" w14:textId="7ECB066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04503E">
      <w:rPr>
        <w:rFonts w:ascii="Times New Roman" w:hAnsi="Times New Roman"/>
        <w:noProof/>
        <w:sz w:val="18"/>
        <w:szCs w:val="18"/>
      </w:rPr>
      <w:t>c4d_specialconditions_en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10028" w14:textId="77777777" w:rsidR="009B1773" w:rsidRPr="006A5F84" w:rsidRDefault="009B1773">
      <w:r w:rsidRPr="006A5F84">
        <w:separator/>
      </w:r>
    </w:p>
  </w:footnote>
  <w:footnote w:type="continuationSeparator" w:id="0">
    <w:p w14:paraId="171AAFA1" w14:textId="77777777" w:rsidR="009B1773" w:rsidRPr="006A5F84" w:rsidRDefault="009B1773">
      <w:r w:rsidRPr="006A5F84">
        <w:continuationSeparator/>
      </w:r>
    </w:p>
  </w:footnote>
  <w:footnote w:id="1">
    <w:p w14:paraId="0D6D91DA" w14:textId="77777777" w:rsidR="001818F9" w:rsidRPr="009F7E6A" w:rsidRDefault="001818F9" w:rsidP="001818F9">
      <w:pPr>
        <w:pStyle w:val="FootnoteText"/>
        <w:rPr>
          <w:highlight w:val="yellow"/>
          <w:lang w:val="en-GB"/>
        </w:rPr>
      </w:pPr>
      <w:r>
        <w:rPr>
          <w:rStyle w:val="FootnoteReference"/>
        </w:rPr>
        <w:footnoteRef/>
      </w:r>
      <w:r w:rsidRPr="009F7E6A">
        <w:rPr>
          <w:lang w:val="en-GB"/>
        </w:rPr>
        <w:t xml:space="preserve"> </w:t>
      </w:r>
      <w:r w:rsidRPr="001818F9">
        <w:rPr>
          <w:lang w:val="en-GB"/>
        </w:rPr>
        <w:t>Such risk assessment is required, for example, when a company is awarded a contract without itself meeting the selection criteria, but relying on the capacity of another company.</w:t>
      </w:r>
    </w:p>
  </w:footnote>
  <w:footnote w:id="2">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B428B7"/>
    <w:multiLevelType w:val="hybridMultilevel"/>
    <w:tmpl w:val="3E5E0A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03E"/>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8F9"/>
    <w:rsid w:val="00181980"/>
    <w:rsid w:val="00184144"/>
    <w:rsid w:val="001859A5"/>
    <w:rsid w:val="001864B6"/>
    <w:rsid w:val="00187253"/>
    <w:rsid w:val="00190077"/>
    <w:rsid w:val="001911FE"/>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31D2"/>
    <w:rsid w:val="00494168"/>
    <w:rsid w:val="004A0140"/>
    <w:rsid w:val="004A101E"/>
    <w:rsid w:val="004A6563"/>
    <w:rsid w:val="004A7ED9"/>
    <w:rsid w:val="004B7463"/>
    <w:rsid w:val="004C270A"/>
    <w:rsid w:val="004C35B5"/>
    <w:rsid w:val="004C3C82"/>
    <w:rsid w:val="004C77A2"/>
    <w:rsid w:val="004C77AB"/>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4C47"/>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36F0D"/>
    <w:rsid w:val="007520CA"/>
    <w:rsid w:val="0075384B"/>
    <w:rsid w:val="007552DC"/>
    <w:rsid w:val="00760195"/>
    <w:rsid w:val="007625F7"/>
    <w:rsid w:val="00763299"/>
    <w:rsid w:val="00763B1C"/>
    <w:rsid w:val="007666CD"/>
    <w:rsid w:val="00775F12"/>
    <w:rsid w:val="00776BF7"/>
    <w:rsid w:val="00777E99"/>
    <w:rsid w:val="00780768"/>
    <w:rsid w:val="00782023"/>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87C7C"/>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D61CF"/>
    <w:rsid w:val="008E40E2"/>
    <w:rsid w:val="008E5F59"/>
    <w:rsid w:val="008E69B7"/>
    <w:rsid w:val="008E7A2D"/>
    <w:rsid w:val="008F3866"/>
    <w:rsid w:val="008F4FF6"/>
    <w:rsid w:val="009143FD"/>
    <w:rsid w:val="0091568E"/>
    <w:rsid w:val="00920A51"/>
    <w:rsid w:val="00922542"/>
    <w:rsid w:val="00923EDA"/>
    <w:rsid w:val="009251E3"/>
    <w:rsid w:val="00925DBE"/>
    <w:rsid w:val="00930AD1"/>
    <w:rsid w:val="0093582A"/>
    <w:rsid w:val="009372A3"/>
    <w:rsid w:val="0094670B"/>
    <w:rsid w:val="00950B0C"/>
    <w:rsid w:val="00951D3A"/>
    <w:rsid w:val="0095271F"/>
    <w:rsid w:val="009679FA"/>
    <w:rsid w:val="0097513D"/>
    <w:rsid w:val="00980A42"/>
    <w:rsid w:val="00983FDE"/>
    <w:rsid w:val="00986B1E"/>
    <w:rsid w:val="009976B3"/>
    <w:rsid w:val="009A0E33"/>
    <w:rsid w:val="009A3792"/>
    <w:rsid w:val="009A3A53"/>
    <w:rsid w:val="009A4F18"/>
    <w:rsid w:val="009A72A6"/>
    <w:rsid w:val="009B0CF1"/>
    <w:rsid w:val="009B1773"/>
    <w:rsid w:val="009B1FBF"/>
    <w:rsid w:val="009B2F1F"/>
    <w:rsid w:val="009B422E"/>
    <w:rsid w:val="009B4D6F"/>
    <w:rsid w:val="009B5A6D"/>
    <w:rsid w:val="009B71DF"/>
    <w:rsid w:val="009C0E86"/>
    <w:rsid w:val="009D2938"/>
    <w:rsid w:val="009D6A3D"/>
    <w:rsid w:val="009E4F6E"/>
    <w:rsid w:val="009E6BB7"/>
    <w:rsid w:val="009F22C3"/>
    <w:rsid w:val="009F3126"/>
    <w:rsid w:val="009F3C68"/>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434"/>
    <w:rsid w:val="00AB5ED5"/>
    <w:rsid w:val="00AB66A5"/>
    <w:rsid w:val="00AC1107"/>
    <w:rsid w:val="00AC2621"/>
    <w:rsid w:val="00AC2B97"/>
    <w:rsid w:val="00AC5207"/>
    <w:rsid w:val="00AC7636"/>
    <w:rsid w:val="00AC7EEC"/>
    <w:rsid w:val="00AD1A3A"/>
    <w:rsid w:val="00AE0296"/>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B11"/>
    <w:rsid w:val="00BE3FDF"/>
    <w:rsid w:val="00BF1A9A"/>
    <w:rsid w:val="00C12AF0"/>
    <w:rsid w:val="00C13C29"/>
    <w:rsid w:val="00C1524D"/>
    <w:rsid w:val="00C17310"/>
    <w:rsid w:val="00C17989"/>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785"/>
    <w:rsid w:val="00D75E7A"/>
    <w:rsid w:val="00D82847"/>
    <w:rsid w:val="00D83918"/>
    <w:rsid w:val="00D83D1B"/>
    <w:rsid w:val="00D86B5F"/>
    <w:rsid w:val="00D90043"/>
    <w:rsid w:val="00D91D64"/>
    <w:rsid w:val="00D92D6A"/>
    <w:rsid w:val="00D93DB5"/>
    <w:rsid w:val="00D979C6"/>
    <w:rsid w:val="00DA4AB8"/>
    <w:rsid w:val="00DB330A"/>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0B9F"/>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paragraph" w:styleId="Index1">
    <w:name w:val="index 1"/>
    <w:basedOn w:val="Normal"/>
    <w:next w:val="Normal"/>
    <w:autoRedefine/>
    <w:rsid w:val="001911FE"/>
    <w:pPr>
      <w:ind w:left="200" w:hanging="200"/>
    </w:pPr>
  </w:style>
  <w:style w:type="paragraph" w:styleId="IndexHeading">
    <w:name w:val="index heading"/>
    <w:basedOn w:val="Normal"/>
    <w:next w:val="Index1"/>
    <w:unhideWhenUsed/>
    <w:rsid w:val="001911FE"/>
    <w:pPr>
      <w:spacing w:before="0" w:after="240"/>
      <w:jc w:val="both"/>
    </w:pPr>
    <w:rPr>
      <w:b/>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peaid/funding/communication-and-visibility-manual-eu-external-actions_en"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8DA767-E19A-49A9-A677-04C9417DF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2627</Words>
  <Characters>14976</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17568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17</cp:revision>
  <cp:lastPrinted>2022-12-05T13:03:00Z</cp:lastPrinted>
  <dcterms:created xsi:type="dcterms:W3CDTF">2022-08-24T12:35:00Z</dcterms:created>
  <dcterms:modified xsi:type="dcterms:W3CDTF">2022-12-26T08:32:00Z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