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C15D1A">
        <w:rPr>
          <w:rFonts w:ascii="Times New Roman" w:hAnsi="Times New Roman"/>
          <w:sz w:val="28"/>
          <w:szCs w:val="28"/>
        </w:rPr>
        <w:t>48-00-136/2020-28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15D1A">
        <w:rPr>
          <w:rFonts w:ascii="Times New Roman" w:hAnsi="Times New Roman"/>
          <w:b/>
          <w:smallCaps/>
          <w:sz w:val="28"/>
          <w:lang w:val="en-GB"/>
        </w:rPr>
        <w:t>g</w:t>
      </w:r>
      <w:r w:rsidRPr="00C15D1A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15D1A">
        <w:rPr>
          <w:rFonts w:ascii="Times New Roman" w:hAnsi="Times New Roman"/>
          <w:b/>
          <w:smallCaps/>
          <w:sz w:val="28"/>
          <w:lang w:val="en-GB"/>
        </w:rPr>
        <w:t>b</w:t>
      </w:r>
      <w:r w:rsidRPr="00C15D1A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C15D1A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C15D1A" w:rsidRPr="00C15D1A">
        <w:rPr>
          <w:rFonts w:ascii="Times New Roman" w:hAnsi="Times New Roman"/>
          <w:b/>
          <w:smallCaps/>
          <w:sz w:val="28"/>
          <w:lang w:val="en-GB"/>
        </w:rPr>
        <w:t xml:space="preserve"> </w:t>
      </w:r>
      <w:r w:rsidR="002F33C5" w:rsidRPr="00C15D1A">
        <w:rPr>
          <w:rFonts w:ascii="Times New Roman" w:hAnsi="Times New Roman"/>
          <w:b/>
          <w:smallCaps/>
          <w:sz w:val="28"/>
          <w:lang w:val="en-GB"/>
        </w:rPr>
        <w:t>EDF</w:t>
      </w:r>
    </w:p>
    <w:p w:rsidR="00C15D1A" w:rsidRPr="00C15D1A" w:rsidRDefault="00C15D1A" w:rsidP="00C15D1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C15D1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C15D1A" w:rsidRDefault="000360AB" w:rsidP="00C15D1A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Technical support for f</w:t>
      </w:r>
      <w:r w:rsidR="00C15D1A">
        <w:rPr>
          <w:rFonts w:ascii="Times New Roman" w:hAnsi="Times New Roman"/>
          <w:b/>
          <w:sz w:val="28"/>
          <w:lang w:val="en-GB"/>
        </w:rPr>
        <w:t>ight against organised crime</w:t>
      </w:r>
      <w:r w:rsidR="00407DDF">
        <w:rPr>
          <w:rFonts w:ascii="Times New Roman" w:hAnsi="Times New Roman"/>
          <w:b/>
          <w:sz w:val="28"/>
          <w:lang w:val="en-GB"/>
        </w:rPr>
        <w:t>, f</w:t>
      </w:r>
      <w:r w:rsidR="00C15D1A">
        <w:rPr>
          <w:rFonts w:ascii="Times New Roman" w:hAnsi="Times New Roman"/>
          <w:b/>
          <w:sz w:val="28"/>
          <w:lang w:val="en-GB"/>
        </w:rPr>
        <w:t>inancial investigation and cyber-crime</w:t>
      </w:r>
    </w:p>
    <w:p w:rsidR="00C15D1A" w:rsidRPr="007B70EE" w:rsidRDefault="00C15D1A" w:rsidP="00C15D1A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5: Surveillance equipment</w:t>
      </w:r>
    </w:p>
    <w:p w:rsidR="00C15D1A" w:rsidRPr="007B70EE" w:rsidRDefault="00C15D1A" w:rsidP="00C15D1A">
      <w:pPr>
        <w:spacing w:before="0" w:after="0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15D1A" w:rsidRPr="00C15D1A">
        <w:rPr>
          <w:rFonts w:ascii="Times New Roman" w:hAnsi="Times New Roman"/>
          <w:b/>
          <w:sz w:val="22"/>
          <w:lang w:val="en-GB"/>
        </w:rPr>
        <w:t>NEAR/BEG/2022/EA-OP/0069</w:t>
      </w:r>
    </w:p>
    <w:p w:rsidR="00407DDF" w:rsidRPr="00407DDF" w:rsidRDefault="004D2FD8" w:rsidP="00407DDF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C15D1A" w:rsidRDefault="004D2FD8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C15D1A" w:rsidRPr="00D95B16">
        <w:rPr>
          <w:rFonts w:ascii="Times New Roman" w:hAnsi="Times New Roman"/>
          <w:sz w:val="22"/>
          <w:lang w:val="en-GB"/>
        </w:rPr>
        <w:t>the supply, delivery, unloading, installation</w:t>
      </w:r>
      <w:r w:rsidR="00C15D1A">
        <w:rPr>
          <w:rFonts w:ascii="Times New Roman" w:hAnsi="Times New Roman"/>
          <w:sz w:val="22"/>
          <w:lang w:val="en-GB"/>
        </w:rPr>
        <w:t xml:space="preserve">, </w:t>
      </w:r>
      <w:r w:rsidR="00C15D1A" w:rsidRPr="00D95B16">
        <w:rPr>
          <w:rFonts w:ascii="Times New Roman" w:hAnsi="Times New Roman"/>
          <w:sz w:val="22"/>
          <w:lang w:val="en-GB"/>
        </w:rPr>
        <w:t xml:space="preserve">commissioning, </w:t>
      </w:r>
      <w:r w:rsidR="00C15D1A">
        <w:rPr>
          <w:rFonts w:ascii="Times New Roman" w:hAnsi="Times New Roman"/>
          <w:sz w:val="22"/>
          <w:lang w:val="en-GB"/>
        </w:rPr>
        <w:t>configuration, start-up</w:t>
      </w:r>
      <w:r w:rsidR="005A0A10">
        <w:rPr>
          <w:rFonts w:ascii="Times New Roman" w:hAnsi="Times New Roman"/>
          <w:sz w:val="22"/>
          <w:lang w:val="en-GB"/>
        </w:rPr>
        <w:t>,</w:t>
      </w:r>
      <w:r w:rsidR="00C15D1A" w:rsidRPr="00D95B16">
        <w:rPr>
          <w:rFonts w:ascii="Times New Roman" w:hAnsi="Times New Roman"/>
          <w:sz w:val="22"/>
          <w:lang w:val="en-GB"/>
        </w:rPr>
        <w:t xml:space="preserve"> warranty</w:t>
      </w:r>
      <w:r w:rsidR="00C15D1A" w:rsidRPr="004F1F8C">
        <w:rPr>
          <w:rFonts w:ascii="Times New Roman" w:hAnsi="Times New Roman"/>
          <w:sz w:val="22"/>
          <w:lang w:val="en-GB"/>
        </w:rPr>
        <w:t xml:space="preserve"> </w:t>
      </w:r>
      <w:r w:rsidR="005A0A10">
        <w:rPr>
          <w:rFonts w:ascii="Times New Roman" w:hAnsi="Times New Roman"/>
          <w:sz w:val="22"/>
          <w:lang w:val="en-GB"/>
        </w:rPr>
        <w:t>and commercial warranty</w:t>
      </w:r>
      <w:r w:rsidR="007B700C">
        <w:rPr>
          <w:rFonts w:ascii="Times New Roman" w:hAnsi="Times New Roman"/>
          <w:sz w:val="22"/>
          <w:lang w:val="en-GB"/>
        </w:rPr>
        <w:t xml:space="preserve"> </w:t>
      </w:r>
      <w:r w:rsidR="00C15D1A" w:rsidRPr="004F1F8C">
        <w:rPr>
          <w:rFonts w:ascii="Times New Roman" w:hAnsi="Times New Roman"/>
          <w:sz w:val="22"/>
          <w:lang w:val="en-GB"/>
        </w:rPr>
        <w:t>of the following supplies:</w:t>
      </w:r>
    </w:p>
    <w:tbl>
      <w:tblPr>
        <w:tblW w:w="843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87"/>
        <w:gridCol w:w="1530"/>
      </w:tblGrid>
      <w:tr w:rsidR="00C15D1A" w:rsidRPr="005A0A10" w:rsidTr="004304CA">
        <w:tc>
          <w:tcPr>
            <w:tcW w:w="1020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87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C15D1A" w:rsidRPr="005A0A10" w:rsidTr="004304CA">
        <w:tc>
          <w:tcPr>
            <w:tcW w:w="1020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5.1</w:t>
            </w:r>
          </w:p>
        </w:tc>
        <w:tc>
          <w:tcPr>
            <w:tcW w:w="5887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Audio recorder</w:t>
            </w:r>
          </w:p>
        </w:tc>
        <w:tc>
          <w:tcPr>
            <w:tcW w:w="1530" w:type="dxa"/>
            <w:shd w:val="clear" w:color="auto" w:fill="auto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</w:tr>
      <w:tr w:rsidR="00C15D1A" w:rsidRPr="005A0A10" w:rsidTr="004304CA">
        <w:tc>
          <w:tcPr>
            <w:tcW w:w="1020" w:type="dxa"/>
            <w:shd w:val="clear" w:color="auto" w:fill="auto"/>
          </w:tcPr>
          <w:p w:rsidR="00C15D1A" w:rsidRPr="005A0A10" w:rsidRDefault="000A75EB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5</w:t>
            </w:r>
            <w:r w:rsidR="00C15D1A" w:rsidRPr="005A0A10">
              <w:rPr>
                <w:rFonts w:ascii="Times New Roman" w:hAnsi="Times New Roman"/>
                <w:sz w:val="22"/>
                <w:szCs w:val="22"/>
                <w:lang w:val="en-US"/>
              </w:rPr>
              <w:t>.2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4MP Covert Pinhole Network Camera-Main Box and lens unit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40</w:t>
            </w:r>
          </w:p>
        </w:tc>
      </w:tr>
      <w:tr w:rsidR="00C15D1A" w:rsidRPr="005A0A10" w:rsidTr="004304CA">
        <w:trPr>
          <w:trHeight w:val="640"/>
        </w:trPr>
        <w:tc>
          <w:tcPr>
            <w:tcW w:w="1020" w:type="dxa"/>
            <w:shd w:val="clear" w:color="auto" w:fill="auto"/>
          </w:tcPr>
          <w:p w:rsidR="00C15D1A" w:rsidRPr="005A0A10" w:rsidRDefault="000A75EB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C15D1A" w:rsidRPr="005A0A10">
              <w:rPr>
                <w:rFonts w:ascii="Times New Roman" w:hAnsi="Times New Roman"/>
                <w:sz w:val="22"/>
                <w:szCs w:val="22"/>
                <w:lang w:val="en-US"/>
              </w:rPr>
              <w:t>.3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Professional handheld camera 4K, min.20 optical zoom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</w:p>
        </w:tc>
      </w:tr>
      <w:tr w:rsidR="00C15D1A" w:rsidRPr="005A0A10" w:rsidTr="004304CA">
        <w:trPr>
          <w:trHeight w:val="640"/>
        </w:trPr>
        <w:tc>
          <w:tcPr>
            <w:tcW w:w="1020" w:type="dxa"/>
            <w:shd w:val="clear" w:color="auto" w:fill="auto"/>
          </w:tcPr>
          <w:p w:rsidR="00C15D1A" w:rsidRPr="005A0A10" w:rsidRDefault="000A75EB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C15D1A" w:rsidRPr="005A0A10">
              <w:rPr>
                <w:rFonts w:ascii="Times New Roman" w:hAnsi="Times New Roman"/>
                <w:sz w:val="22"/>
                <w:szCs w:val="22"/>
                <w:lang w:val="en-US"/>
              </w:rPr>
              <w:t>.4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C15D1A" w:rsidRPr="00A502CA" w:rsidRDefault="00C15D1A" w:rsidP="004304CA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IP PTZ Camera 2MP 30x zoom 12vdc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</w:tr>
      <w:tr w:rsidR="00C15D1A" w:rsidRPr="005A0A10" w:rsidTr="004304CA">
        <w:trPr>
          <w:trHeight w:val="640"/>
        </w:trPr>
        <w:tc>
          <w:tcPr>
            <w:tcW w:w="1020" w:type="dxa"/>
            <w:shd w:val="clear" w:color="auto" w:fill="auto"/>
          </w:tcPr>
          <w:p w:rsidR="00C15D1A" w:rsidRPr="005A0A10" w:rsidRDefault="000A75EB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C15D1A" w:rsidRPr="005A0A10">
              <w:rPr>
                <w:rFonts w:ascii="Times New Roman" w:hAnsi="Times New Roman"/>
                <w:sz w:val="22"/>
                <w:szCs w:val="22"/>
                <w:lang w:val="en-US"/>
              </w:rPr>
              <w:t>.5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C15D1A" w:rsidRPr="00A502CA" w:rsidRDefault="00C15D1A" w:rsidP="004304CA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Digital camera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</w:p>
        </w:tc>
      </w:tr>
      <w:tr w:rsidR="00C15D1A" w:rsidRPr="005A0A10" w:rsidTr="004304CA">
        <w:trPr>
          <w:trHeight w:val="640"/>
        </w:trPr>
        <w:tc>
          <w:tcPr>
            <w:tcW w:w="1020" w:type="dxa"/>
            <w:shd w:val="clear" w:color="auto" w:fill="auto"/>
          </w:tcPr>
          <w:p w:rsidR="00C15D1A" w:rsidRPr="005A0A10" w:rsidRDefault="000A75EB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C15D1A" w:rsidRPr="005A0A10">
              <w:rPr>
                <w:rFonts w:ascii="Times New Roman" w:hAnsi="Times New Roman"/>
                <w:sz w:val="22"/>
                <w:szCs w:val="22"/>
                <w:lang w:val="en-US"/>
              </w:rPr>
              <w:t>.6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C15D1A" w:rsidRPr="00A502CA" w:rsidRDefault="00C15D1A" w:rsidP="004304CA">
            <w:pPr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</w:pPr>
            <w:r w:rsidRPr="00A502CA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Mobile pentabrid DVR 4CH min 1080p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15D1A" w:rsidRPr="005A0A10" w:rsidRDefault="00C15D1A" w:rsidP="004304C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A10">
              <w:rPr>
                <w:rFonts w:ascii="Times New Roman" w:hAnsi="Times New Roman"/>
                <w:sz w:val="22"/>
                <w:szCs w:val="22"/>
                <w:lang w:val="en-US"/>
              </w:rPr>
              <w:t>40</w:t>
            </w:r>
          </w:p>
        </w:tc>
      </w:tr>
    </w:tbl>
    <w:p w:rsidR="00C15D1A" w:rsidRDefault="00C15D1A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C15D1A" w:rsidRDefault="00C15D1A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distribution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7B700C">
        <w:rPr>
          <w:rFonts w:ascii="Times New Roman" w:hAnsi="Times New Roman"/>
          <w:sz w:val="22"/>
          <w:lang w:val="en-GB"/>
        </w:rPr>
        <w:t>210</w:t>
      </w:r>
      <w:r w:rsidRPr="003316C5">
        <w:rPr>
          <w:rFonts w:ascii="Times New Roman" w:hAnsi="Times New Roman"/>
          <w:sz w:val="22"/>
          <w:lang w:val="en-GB"/>
        </w:rPr>
        <w:t xml:space="preserve">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C15D1A" w:rsidRDefault="00C15D1A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C15D1A" w:rsidRDefault="00C15D1A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D108C9"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7B700C">
        <w:rPr>
          <w:rFonts w:ascii="Times New Roman" w:hAnsi="Times New Roman"/>
          <w:sz w:val="22"/>
          <w:lang w:val="en-GB"/>
        </w:rPr>
        <w:t>330</w:t>
      </w:r>
      <w:r w:rsidRPr="00D108C9">
        <w:rPr>
          <w:rFonts w:ascii="Times New Roman" w:hAnsi="Times New Roman"/>
          <w:sz w:val="22"/>
          <w:lang w:val="en-GB"/>
        </w:rPr>
        <w:t xml:space="preserve"> days from the Commencement date to the date for Provisional Acceptance</w:t>
      </w:r>
    </w:p>
    <w:p w:rsidR="004D2FD8" w:rsidRDefault="004D2FD8" w:rsidP="00C15D1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C15D1A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C15D1A">
        <w:rPr>
          <w:rFonts w:ascii="Times New Roman" w:hAnsi="Times New Roman"/>
          <w:sz w:val="22"/>
          <w:lang w:val="en-GB"/>
        </w:rPr>
        <w:t>EUR</w:t>
      </w:r>
      <w:r w:rsidR="00C15D1A" w:rsidRPr="00C15D1A">
        <w:rPr>
          <w:rFonts w:ascii="Times New Roman" w:hAnsi="Times New Roman"/>
          <w:sz w:val="22"/>
          <w:lang w:val="en-GB"/>
        </w:rPr>
        <w:t xml:space="preserve"> 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6B1D87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C15D1A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C15D1A">
        <w:rPr>
          <w:rFonts w:ascii="Times New Roman" w:hAnsi="Times New Roman"/>
          <w:sz w:val="22"/>
          <w:lang w:val="en-GB"/>
        </w:rPr>
        <w:t xml:space="preserve">the </w:t>
      </w:r>
      <w:r w:rsidRPr="00C15D1A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C15D1A">
        <w:rPr>
          <w:rFonts w:ascii="Times New Roman" w:hAnsi="Times New Roman"/>
          <w:sz w:val="22"/>
          <w:lang w:val="en-GB"/>
        </w:rPr>
        <w:t>)</w:t>
      </w:r>
      <w:r w:rsidRPr="00C15D1A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C15D1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C15D1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C15D1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C15D1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C15D1A">
        <w:rPr>
          <w:rFonts w:ascii="Times New Roman" w:hAnsi="Times New Roman"/>
          <w:sz w:val="22"/>
          <w:lang w:val="en-GB"/>
        </w:rPr>
        <w:t>)</w:t>
      </w:r>
      <w:r w:rsidR="00B80DE8" w:rsidRPr="00C15D1A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C15D1A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C15D1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C15D1A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15D1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15D1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C15D1A" w:rsidRPr="00C15D1A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C15D1A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98E" w:rsidRDefault="00F8598E">
      <w:r>
        <w:separator/>
      </w:r>
    </w:p>
    <w:p w:rsidR="00F8598E" w:rsidRDefault="00F8598E"/>
  </w:endnote>
  <w:endnote w:type="continuationSeparator" w:id="0">
    <w:p w:rsidR="00F8598E" w:rsidRDefault="00F8598E">
      <w:r>
        <w:continuationSeparator/>
      </w:r>
    </w:p>
    <w:p w:rsidR="00F8598E" w:rsidRDefault="00F85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A319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A319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DA319F">
      <w:rPr>
        <w:rFonts w:ascii="Times New Roman" w:hAnsi="Times New Roman"/>
        <w:noProof/>
        <w:sz w:val="18"/>
        <w:szCs w:val="18"/>
        <w:lang w:val="en-GB"/>
      </w:rPr>
      <w:t>c4c_contract_en Lot 5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98E" w:rsidRDefault="00F8598E" w:rsidP="008056C4">
      <w:pPr>
        <w:spacing w:before="0" w:after="0"/>
      </w:pPr>
      <w:r>
        <w:separator/>
      </w:r>
    </w:p>
  </w:footnote>
  <w:footnote w:type="continuationSeparator" w:id="0">
    <w:p w:rsidR="00F8598E" w:rsidRDefault="00F8598E">
      <w:r>
        <w:continuationSeparator/>
      </w:r>
    </w:p>
    <w:p w:rsidR="00F8598E" w:rsidRDefault="00F8598E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C15D1A" w:rsidRPr="00C675D1" w:rsidRDefault="00C15D1A" w:rsidP="00C15D1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60AB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5EB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57D0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7DDF"/>
    <w:rsid w:val="00420666"/>
    <w:rsid w:val="004300D4"/>
    <w:rsid w:val="004316F0"/>
    <w:rsid w:val="00432DF1"/>
    <w:rsid w:val="00441552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0A10"/>
    <w:rsid w:val="005B03BC"/>
    <w:rsid w:val="005B2018"/>
    <w:rsid w:val="005C0EA1"/>
    <w:rsid w:val="005D2554"/>
    <w:rsid w:val="005F2975"/>
    <w:rsid w:val="005F3C51"/>
    <w:rsid w:val="005F62D0"/>
    <w:rsid w:val="005F6EB1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1D87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0C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1814"/>
    <w:rsid w:val="00963A3F"/>
    <w:rsid w:val="00965F8A"/>
    <w:rsid w:val="00980A42"/>
    <w:rsid w:val="009910F7"/>
    <w:rsid w:val="0099597A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02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5D1A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319F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06A8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598E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b21a4a1d-4eb8-49d3-b465-be101281b0f3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0EFD5E-30E6-4E89-9E12-28CD825B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601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4057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13</cp:revision>
  <cp:lastPrinted>2022-07-22T13:43:00Z</cp:lastPrinted>
  <dcterms:created xsi:type="dcterms:W3CDTF">2022-07-01T11:23:00Z</dcterms:created>
  <dcterms:modified xsi:type="dcterms:W3CDTF">2022-07-22T13:43:00Z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