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A2C0" w14:textId="4CA73C5F" w:rsidR="00280B88" w:rsidRDefault="00280B88">
      <w:pPr>
        <w:jc w:val="center"/>
        <w:rPr>
          <w:b/>
          <w:sz w:val="28"/>
          <w:szCs w:val="28"/>
          <w:lang w:val="en-GB"/>
        </w:rPr>
      </w:pPr>
    </w:p>
    <w:p w14:paraId="01BE87E4" w14:textId="61AC8956" w:rsidR="006F5FD0" w:rsidRPr="0061151A" w:rsidRDefault="00C03806">
      <w:pPr>
        <w:jc w:val="center"/>
        <w:rPr>
          <w:rStyle w:val="Strong"/>
          <w:sz w:val="28"/>
          <w:szCs w:val="28"/>
          <w:lang w:val="en-GB"/>
        </w:rPr>
      </w:pPr>
      <w:r w:rsidRPr="0061151A">
        <w:rPr>
          <w:b/>
          <w:sz w:val="28"/>
          <w:szCs w:val="28"/>
          <w:lang w:val="en-GB"/>
        </w:rPr>
        <w:t xml:space="preserve">CONTRACT </w:t>
      </w:r>
      <w:r w:rsidR="006F5FD0" w:rsidRPr="0061151A">
        <w:rPr>
          <w:b/>
          <w:sz w:val="28"/>
          <w:szCs w:val="28"/>
          <w:lang w:val="en-GB"/>
        </w:rPr>
        <w:t>NOTICE</w:t>
      </w:r>
    </w:p>
    <w:p w14:paraId="16C724C2" w14:textId="0C01CB06" w:rsidR="00F3539A" w:rsidRPr="0061151A" w:rsidRDefault="00DB35A9" w:rsidP="00391200">
      <w:pPr>
        <w:spacing w:beforeAutospacing="1" w:afterAutospacing="1"/>
        <w:jc w:val="center"/>
        <w:rPr>
          <w:rStyle w:val="Strong"/>
          <w:sz w:val="22"/>
          <w:szCs w:val="22"/>
        </w:rPr>
      </w:pPr>
      <w:r w:rsidRPr="0061151A">
        <w:rPr>
          <w:b/>
          <w:sz w:val="22"/>
          <w:szCs w:val="22"/>
          <w:u w:val="single"/>
        </w:rPr>
        <w:t>CALL FOR TENDER</w:t>
      </w:r>
      <w:r w:rsidR="00297B55" w:rsidRPr="0061151A">
        <w:rPr>
          <w:b/>
          <w:sz w:val="22"/>
          <w:szCs w:val="22"/>
          <w:u w:val="single"/>
        </w:rPr>
        <w:t xml:space="preserve">: GENERAL </w:t>
      </w:r>
      <w:r w:rsidR="004A079B" w:rsidRPr="0061151A">
        <w:rPr>
          <w:b/>
          <w:sz w:val="22"/>
          <w:szCs w:val="22"/>
          <w:u w:val="single"/>
        </w:rPr>
        <w:t xml:space="preserve">INFORMATION </w:t>
      </w:r>
      <w:r w:rsidR="007C201A" w:rsidRPr="0061151A">
        <w:rPr>
          <w:b/>
          <w:sz w:val="22"/>
          <w:szCs w:val="22"/>
          <w:u w:val="single"/>
        </w:rPr>
        <w:br/>
      </w:r>
    </w:p>
    <w:p w14:paraId="5B463A74" w14:textId="18FC8B51" w:rsidR="00EF74CF" w:rsidRDefault="00EF74CF" w:rsidP="006B4A1C">
      <w:pPr>
        <w:spacing w:after="0"/>
        <w:outlineLvl w:val="0"/>
        <w:rPr>
          <w:rStyle w:val="Strong"/>
          <w:sz w:val="22"/>
          <w:szCs w:val="22"/>
          <w:u w:val="single"/>
          <w:lang w:val="en-GB"/>
        </w:rPr>
      </w:pPr>
      <w:r w:rsidRPr="0061151A">
        <w:rPr>
          <w:rStyle w:val="Strong"/>
          <w:sz w:val="22"/>
          <w:szCs w:val="22"/>
          <w:u w:val="single"/>
          <w:lang w:val="en-GB"/>
        </w:rPr>
        <w:t>I.1) Name and address Contracting Authority</w:t>
      </w:r>
    </w:p>
    <w:p w14:paraId="2B794EDC" w14:textId="77777777" w:rsidR="00A20492" w:rsidRPr="00A20492" w:rsidRDefault="00A20492" w:rsidP="006B4A1C">
      <w:pPr>
        <w:spacing w:after="0"/>
        <w:outlineLvl w:val="0"/>
        <w:rPr>
          <w:rStyle w:val="Strong"/>
          <w:sz w:val="22"/>
          <w:szCs w:val="22"/>
          <w:u w:val="single"/>
          <w:lang w:val="sr-Latn-RS"/>
        </w:rPr>
      </w:pPr>
    </w:p>
    <w:p w14:paraId="46A10EB1" w14:textId="784B29D7" w:rsidR="006754CE" w:rsidRPr="0061151A" w:rsidRDefault="006754CE" w:rsidP="006B4A1C">
      <w:pPr>
        <w:spacing w:before="0" w:after="0"/>
        <w:outlineLvl w:val="0"/>
        <w:rPr>
          <w:rStyle w:val="Strong"/>
          <w:b w:val="0"/>
          <w:sz w:val="22"/>
          <w:szCs w:val="22"/>
          <w:lang w:val="en-GB"/>
        </w:rPr>
      </w:pPr>
      <w:r w:rsidRPr="0061151A">
        <w:rPr>
          <w:bCs/>
          <w:sz w:val="22"/>
          <w:szCs w:val="22"/>
          <w:u w:val="single"/>
          <w:lang w:val="en-GB"/>
        </w:rPr>
        <w:t xml:space="preserve">Official name: Ministry of finance, Department for Contracting and Financing of EU Funded Programmes </w:t>
      </w:r>
      <w:r w:rsidRPr="0061151A">
        <w:rPr>
          <w:bCs/>
          <w:sz w:val="22"/>
          <w:szCs w:val="22"/>
          <w:u w:val="single"/>
          <w:lang w:val="en-GB"/>
        </w:rPr>
        <w:br/>
        <w:t xml:space="preserve">Postal address: </w:t>
      </w:r>
      <w:r w:rsidRPr="0061151A">
        <w:rPr>
          <w:bCs/>
          <w:sz w:val="22"/>
          <w:szCs w:val="22"/>
          <w:u w:val="single"/>
          <w:lang w:val="de-DE"/>
        </w:rPr>
        <w:t xml:space="preserve">3-5, </w:t>
      </w:r>
      <w:proofErr w:type="spellStart"/>
      <w:r w:rsidRPr="0061151A">
        <w:rPr>
          <w:bCs/>
          <w:sz w:val="22"/>
          <w:szCs w:val="22"/>
          <w:u w:val="single"/>
          <w:lang w:val="de-DE"/>
        </w:rPr>
        <w:t>Sremska</w:t>
      </w:r>
      <w:proofErr w:type="spellEnd"/>
      <w:r w:rsidRPr="0061151A">
        <w:rPr>
          <w:bCs/>
          <w:sz w:val="22"/>
          <w:szCs w:val="22"/>
          <w:u w:val="single"/>
          <w:lang w:val="de-DE"/>
        </w:rPr>
        <w:t xml:space="preserve"> St</w:t>
      </w:r>
      <w:proofErr w:type="gramStart"/>
      <w:r w:rsidRPr="0061151A">
        <w:rPr>
          <w:bCs/>
          <w:sz w:val="22"/>
          <w:szCs w:val="22"/>
          <w:u w:val="single"/>
          <w:lang w:val="de-DE"/>
        </w:rPr>
        <w:t>.</w:t>
      </w:r>
      <w:proofErr w:type="gramEnd"/>
      <w:r w:rsidRPr="0061151A">
        <w:rPr>
          <w:bCs/>
          <w:sz w:val="22"/>
          <w:szCs w:val="22"/>
          <w:u w:val="single"/>
          <w:lang w:val="en-GB"/>
        </w:rPr>
        <w:br/>
        <w:t>Town: Belgrade</w:t>
      </w:r>
      <w:r w:rsidRPr="0061151A">
        <w:rPr>
          <w:bCs/>
          <w:sz w:val="22"/>
          <w:szCs w:val="22"/>
          <w:u w:val="single"/>
          <w:lang w:val="en-GB"/>
        </w:rPr>
        <w:br/>
        <w:t>Postal Code: 11000 Belgrade</w:t>
      </w:r>
      <w:r w:rsidRPr="0061151A">
        <w:rPr>
          <w:bCs/>
          <w:sz w:val="22"/>
          <w:szCs w:val="22"/>
          <w:u w:val="single"/>
          <w:lang w:val="en-GB"/>
        </w:rPr>
        <w:br/>
        <w:t xml:space="preserve">E-mail: </w:t>
      </w:r>
      <w:hyperlink r:id="rId11" w:history="1">
        <w:r w:rsidR="00C3452B" w:rsidRPr="00B04E2C">
          <w:rPr>
            <w:rStyle w:val="Hyperlink"/>
            <w:bCs/>
            <w:sz w:val="22"/>
            <w:szCs w:val="22"/>
          </w:rPr>
          <w:t>cfcu.questions@mfin.gov.rs</w:t>
        </w:r>
      </w:hyperlink>
      <w:r w:rsidRPr="0061151A">
        <w:rPr>
          <w:bCs/>
          <w:sz w:val="22"/>
          <w:szCs w:val="22"/>
          <w:u w:val="single"/>
          <w:lang w:val="en-GB"/>
        </w:rPr>
        <w:br/>
        <w:t xml:space="preserve">Internet address: </w:t>
      </w:r>
      <w:r w:rsidRPr="0061151A">
        <w:rPr>
          <w:rStyle w:val="Strong"/>
          <w:sz w:val="22"/>
          <w:szCs w:val="22"/>
          <w:u w:val="single"/>
          <w:lang w:val="en-GB"/>
        </w:rPr>
        <w:t xml:space="preserve"> http://www.cfcu.gov.rs/</w:t>
      </w:r>
    </w:p>
    <w:p w14:paraId="211EB328" w14:textId="2BFE6372" w:rsidR="00CF366A" w:rsidRPr="0061151A" w:rsidRDefault="00B513FE" w:rsidP="006B4A1C">
      <w:pPr>
        <w:spacing w:before="0" w:after="0"/>
        <w:outlineLvl w:val="0"/>
        <w:rPr>
          <w:rStyle w:val="Strong"/>
          <w:b w:val="0"/>
          <w:sz w:val="22"/>
          <w:szCs w:val="22"/>
          <w:lang w:val="en-GB"/>
        </w:rPr>
      </w:pPr>
      <w:r w:rsidRPr="0061151A">
        <w:rPr>
          <w:rStyle w:val="Strong"/>
          <w:sz w:val="22"/>
          <w:szCs w:val="22"/>
          <w:u w:val="single"/>
          <w:lang w:val="en-GB"/>
        </w:rPr>
        <w:br/>
        <w:t>II.1.1)</w:t>
      </w:r>
      <w:r w:rsidR="007C201A" w:rsidRPr="0061151A">
        <w:rPr>
          <w:rStyle w:val="Strong"/>
          <w:sz w:val="22"/>
          <w:szCs w:val="22"/>
          <w:u w:val="single"/>
          <w:lang w:val="en-GB"/>
        </w:rPr>
        <w:t xml:space="preserve"> </w:t>
      </w:r>
      <w:r w:rsidRPr="0061151A">
        <w:rPr>
          <w:rStyle w:val="Strong"/>
          <w:sz w:val="22"/>
          <w:szCs w:val="22"/>
          <w:u w:val="single"/>
          <w:lang w:val="en-GB"/>
        </w:rPr>
        <w:t>Title:</w:t>
      </w:r>
      <w:r w:rsidRPr="0061151A">
        <w:rPr>
          <w:rStyle w:val="Strong"/>
          <w:b w:val="0"/>
          <w:sz w:val="22"/>
          <w:szCs w:val="22"/>
          <w:lang w:val="en-GB"/>
        </w:rPr>
        <w:t xml:space="preserve"> </w:t>
      </w:r>
      <w:r w:rsidR="007C201A" w:rsidRPr="0061151A">
        <w:rPr>
          <w:rStyle w:val="Strong"/>
          <w:b w:val="0"/>
          <w:sz w:val="22"/>
          <w:szCs w:val="22"/>
          <w:lang w:val="en-GB"/>
        </w:rPr>
        <w:br/>
      </w:r>
      <w:r w:rsidR="007C201A" w:rsidRPr="0061151A">
        <w:rPr>
          <w:rStyle w:val="Strong"/>
          <w:b w:val="0"/>
          <w:sz w:val="22"/>
          <w:szCs w:val="22"/>
          <w:lang w:val="en-GB"/>
        </w:rPr>
        <w:br/>
      </w:r>
      <w:r w:rsidR="006754CE" w:rsidRPr="0061151A">
        <w:rPr>
          <w:rStyle w:val="Strong"/>
          <w:b w:val="0"/>
          <w:sz w:val="22"/>
          <w:szCs w:val="22"/>
          <w:lang w:val="en-GB"/>
        </w:rPr>
        <w:t xml:space="preserve">Technical Assistance on implementation, monitoring, and evaluation of employment policy at national and local level and strengthened capacities to participate in </w:t>
      </w:r>
      <w:r w:rsidR="00C362FE" w:rsidRPr="00C362FE">
        <w:rPr>
          <w:rStyle w:val="Strong"/>
          <w:b w:val="0"/>
          <w:sz w:val="22"/>
          <w:szCs w:val="22"/>
          <w:lang w:val="en-GB"/>
        </w:rPr>
        <w:t>European Social Fund</w:t>
      </w:r>
    </w:p>
    <w:p w14:paraId="0882407B" w14:textId="6FE8C2F6" w:rsidR="00CF366A" w:rsidRPr="0061151A" w:rsidRDefault="00CF366A" w:rsidP="006B4A1C">
      <w:pPr>
        <w:spacing w:after="0"/>
        <w:outlineLvl w:val="0"/>
        <w:rPr>
          <w:rStyle w:val="Strong"/>
          <w:sz w:val="22"/>
          <w:szCs w:val="22"/>
          <w:u w:val="single"/>
          <w:lang w:val="en-GB"/>
        </w:rPr>
      </w:pPr>
      <w:r w:rsidRPr="0061151A">
        <w:rPr>
          <w:rStyle w:val="Strong"/>
          <w:sz w:val="22"/>
          <w:szCs w:val="22"/>
          <w:u w:val="single"/>
          <w:lang w:val="en-GB"/>
        </w:rPr>
        <w:t>II.1.2) Main CPV</w:t>
      </w:r>
      <w:r w:rsidR="000617C9" w:rsidRPr="0061151A">
        <w:rPr>
          <w:rStyle w:val="FootnoteReference"/>
          <w:b/>
          <w:sz w:val="22"/>
          <w:szCs w:val="22"/>
          <w:u w:val="single"/>
          <w:lang w:val="en-GB"/>
        </w:rPr>
        <w:footnoteReference w:id="1"/>
      </w:r>
      <w:r w:rsidRPr="0061151A">
        <w:rPr>
          <w:rStyle w:val="Strong"/>
          <w:sz w:val="22"/>
          <w:szCs w:val="22"/>
          <w:u w:val="single"/>
          <w:lang w:val="en-GB"/>
        </w:rPr>
        <w:t xml:space="preserve"> code</w:t>
      </w:r>
    </w:p>
    <w:p w14:paraId="57BD9A50" w14:textId="755E7029" w:rsidR="00010B32" w:rsidRPr="0061151A" w:rsidRDefault="006754CE" w:rsidP="006B4A1C">
      <w:pPr>
        <w:spacing w:after="0"/>
        <w:outlineLvl w:val="0"/>
        <w:rPr>
          <w:rStyle w:val="Strong"/>
          <w:b w:val="0"/>
          <w:sz w:val="22"/>
          <w:szCs w:val="22"/>
          <w:lang w:val="en-GB"/>
        </w:rPr>
      </w:pPr>
      <w:r w:rsidRPr="0061151A">
        <w:rPr>
          <w:rStyle w:val="Strong"/>
          <w:b w:val="0"/>
          <w:sz w:val="22"/>
          <w:szCs w:val="22"/>
          <w:lang w:val="en-GB"/>
        </w:rPr>
        <w:t>73000000-2 Research and development services and related consultancy services</w:t>
      </w:r>
      <w:r w:rsidR="007C201A" w:rsidRPr="0061151A">
        <w:rPr>
          <w:rStyle w:val="Strong"/>
          <w:b w:val="0"/>
          <w:sz w:val="22"/>
          <w:szCs w:val="22"/>
          <w:lang w:val="en-GB"/>
        </w:rPr>
        <w:br/>
      </w:r>
      <w:r w:rsidR="007C201A" w:rsidRPr="0061151A">
        <w:rPr>
          <w:rStyle w:val="Strong"/>
          <w:sz w:val="22"/>
          <w:szCs w:val="22"/>
          <w:u w:val="single"/>
          <w:lang w:val="en-GB"/>
        </w:rPr>
        <w:br/>
      </w:r>
      <w:r w:rsidR="00010B32" w:rsidRPr="0061151A">
        <w:rPr>
          <w:rStyle w:val="Strong"/>
          <w:sz w:val="22"/>
          <w:szCs w:val="22"/>
          <w:u w:val="single"/>
          <w:lang w:val="en-GB"/>
        </w:rPr>
        <w:t>II.1.3) Type of contract</w:t>
      </w:r>
    </w:p>
    <w:p w14:paraId="5996C3A9" w14:textId="77777777" w:rsidR="006754CE" w:rsidRPr="0061151A" w:rsidRDefault="006754CE" w:rsidP="006B4A1C">
      <w:pPr>
        <w:pStyle w:val="Blockquote"/>
        <w:spacing w:after="0"/>
        <w:ind w:left="0"/>
        <w:jc w:val="both"/>
        <w:rPr>
          <w:rStyle w:val="Emphasis"/>
          <w:i w:val="0"/>
          <w:sz w:val="22"/>
          <w:szCs w:val="22"/>
          <w:lang w:val="en-GB"/>
        </w:rPr>
      </w:pPr>
      <w:r w:rsidRPr="0061151A">
        <w:rPr>
          <w:rStyle w:val="Emphasis"/>
          <w:i w:val="0"/>
          <w:sz w:val="22"/>
          <w:szCs w:val="22"/>
          <w:lang w:val="en-GB"/>
        </w:rPr>
        <w:t xml:space="preserve">Services </w:t>
      </w:r>
    </w:p>
    <w:p w14:paraId="355F962B" w14:textId="301F3452" w:rsidR="00EF74CF" w:rsidRPr="0061151A" w:rsidRDefault="00EF74CF" w:rsidP="006B4A1C">
      <w:pPr>
        <w:spacing w:before="240" w:after="0"/>
        <w:outlineLvl w:val="0"/>
        <w:rPr>
          <w:rStyle w:val="Strong"/>
          <w:sz w:val="22"/>
          <w:szCs w:val="22"/>
          <w:u w:val="single"/>
          <w:lang w:val="en-GB"/>
        </w:rPr>
      </w:pPr>
      <w:r w:rsidRPr="0061151A">
        <w:rPr>
          <w:rStyle w:val="Strong"/>
          <w:sz w:val="22"/>
          <w:szCs w:val="22"/>
          <w:u w:val="single"/>
          <w:lang w:val="en-GB"/>
        </w:rPr>
        <w:t>II.1.4) Short description of the contract</w:t>
      </w:r>
    </w:p>
    <w:p w14:paraId="29D09185" w14:textId="77777777" w:rsidR="006754CE" w:rsidRPr="0061151A" w:rsidRDefault="006754CE" w:rsidP="006B4A1C">
      <w:pPr>
        <w:keepNext/>
        <w:keepLines/>
        <w:spacing w:after="0"/>
        <w:rPr>
          <w:sz w:val="22"/>
          <w:szCs w:val="22"/>
        </w:rPr>
      </w:pPr>
      <w:r w:rsidRPr="0061151A">
        <w:rPr>
          <w:sz w:val="22"/>
          <w:szCs w:val="22"/>
        </w:rPr>
        <w:t>The purposes of this contract are as follows:</w:t>
      </w:r>
    </w:p>
    <w:p w14:paraId="416B748E" w14:textId="77777777" w:rsidR="006754CE" w:rsidRPr="0061151A" w:rsidRDefault="006754CE" w:rsidP="006B4A1C">
      <w:pPr>
        <w:pStyle w:val="ListParagraph"/>
        <w:numPr>
          <w:ilvl w:val="0"/>
          <w:numId w:val="46"/>
        </w:numPr>
        <w:autoSpaceDE w:val="0"/>
        <w:autoSpaceDN w:val="0"/>
        <w:adjustRightInd w:val="0"/>
        <w:jc w:val="both"/>
        <w:rPr>
          <w:rFonts w:ascii="Times New Roman" w:hAnsi="Times New Roman"/>
        </w:rPr>
      </w:pPr>
      <w:r w:rsidRPr="0061151A">
        <w:rPr>
          <w:rFonts w:ascii="Times New Roman" w:hAnsi="Times New Roman"/>
        </w:rPr>
        <w:t>To support the Ministry of Labour, Employment, Veteran and Social Affairs (</w:t>
      </w:r>
      <w:proofErr w:type="spellStart"/>
      <w:r w:rsidRPr="0061151A">
        <w:rPr>
          <w:rFonts w:ascii="Times New Roman" w:hAnsi="Times New Roman"/>
        </w:rPr>
        <w:t>MoLEVSA</w:t>
      </w:r>
      <w:proofErr w:type="spellEnd"/>
      <w:r w:rsidRPr="0061151A">
        <w:rPr>
          <w:rFonts w:ascii="Times New Roman" w:hAnsi="Times New Roman"/>
        </w:rPr>
        <w:t>) and Local Self-Governments (LSGs) in improving effectiveness of Active Labour Market Policies (ALMPs) through improved design;</w:t>
      </w:r>
    </w:p>
    <w:p w14:paraId="5263523D" w14:textId="77777777" w:rsidR="006754CE" w:rsidRPr="0061151A" w:rsidRDefault="006754CE" w:rsidP="006B4A1C">
      <w:pPr>
        <w:pStyle w:val="ListParagraph"/>
        <w:numPr>
          <w:ilvl w:val="0"/>
          <w:numId w:val="46"/>
        </w:numPr>
        <w:autoSpaceDE w:val="0"/>
        <w:autoSpaceDN w:val="0"/>
        <w:adjustRightInd w:val="0"/>
        <w:jc w:val="both"/>
        <w:rPr>
          <w:rFonts w:ascii="Times New Roman" w:hAnsi="Times New Roman"/>
        </w:rPr>
      </w:pPr>
      <w:r w:rsidRPr="0061151A">
        <w:rPr>
          <w:rFonts w:ascii="Times New Roman" w:hAnsi="Times New Roman"/>
        </w:rPr>
        <w:t>To build capacities of the relevant actors in the field of employment (</w:t>
      </w:r>
      <w:proofErr w:type="spellStart"/>
      <w:r w:rsidRPr="0061151A">
        <w:rPr>
          <w:rFonts w:ascii="Times New Roman" w:hAnsi="Times New Roman"/>
        </w:rPr>
        <w:t>MoLEVSA</w:t>
      </w:r>
      <w:proofErr w:type="spellEnd"/>
      <w:r w:rsidRPr="0061151A">
        <w:rPr>
          <w:rFonts w:ascii="Times New Roman" w:hAnsi="Times New Roman"/>
        </w:rPr>
        <w:t>, National Employment Service (NES), LSGs and other actors) to better perform their tasks related to implementation, monitoring and evaluation of ALMPs;</w:t>
      </w:r>
    </w:p>
    <w:p w14:paraId="4756C228" w14:textId="77777777" w:rsidR="006754CE" w:rsidRPr="0061151A" w:rsidRDefault="006754CE" w:rsidP="006B4A1C">
      <w:pPr>
        <w:widowControl/>
        <w:numPr>
          <w:ilvl w:val="0"/>
          <w:numId w:val="46"/>
        </w:numPr>
        <w:autoSpaceDE w:val="0"/>
        <w:autoSpaceDN w:val="0"/>
        <w:adjustRightInd w:val="0"/>
        <w:spacing w:before="0" w:after="0"/>
        <w:jc w:val="both"/>
        <w:rPr>
          <w:rFonts w:eastAsia="Calibri" w:cs="Calibri"/>
          <w:sz w:val="22"/>
          <w:szCs w:val="22"/>
        </w:rPr>
      </w:pPr>
      <w:r w:rsidRPr="0061151A">
        <w:rPr>
          <w:rFonts w:eastAsia="Calibri" w:cs="Calibri"/>
          <w:sz w:val="22"/>
          <w:szCs w:val="22"/>
        </w:rPr>
        <w:t xml:space="preserve">To ensure that </w:t>
      </w:r>
      <w:bookmarkStart w:id="0" w:name="_Hlk53760291"/>
      <w:r w:rsidRPr="0061151A">
        <w:rPr>
          <w:rFonts w:eastAsia="Calibri" w:cs="Calibri"/>
          <w:sz w:val="22"/>
          <w:szCs w:val="22"/>
        </w:rPr>
        <w:t xml:space="preserve">Serbian institutions and other relevant actors </w:t>
      </w:r>
      <w:bookmarkEnd w:id="0"/>
      <w:r w:rsidRPr="0061151A">
        <w:rPr>
          <w:rFonts w:eastAsia="Calibri" w:cs="Calibri"/>
          <w:sz w:val="22"/>
          <w:szCs w:val="22"/>
        </w:rPr>
        <w:t>are supported to meet the requirements of cohesion policy and participation in the European Social Fund;</w:t>
      </w:r>
    </w:p>
    <w:p w14:paraId="666343C2" w14:textId="77777777" w:rsidR="006754CE" w:rsidRPr="0061151A" w:rsidRDefault="006754CE" w:rsidP="006B4A1C">
      <w:pPr>
        <w:widowControl/>
        <w:numPr>
          <w:ilvl w:val="0"/>
          <w:numId w:val="46"/>
        </w:numPr>
        <w:autoSpaceDE w:val="0"/>
        <w:autoSpaceDN w:val="0"/>
        <w:adjustRightInd w:val="0"/>
        <w:spacing w:before="0" w:after="0"/>
        <w:jc w:val="both"/>
        <w:rPr>
          <w:rFonts w:eastAsia="Calibri" w:cs="Calibri"/>
          <w:sz w:val="22"/>
          <w:szCs w:val="22"/>
        </w:rPr>
      </w:pPr>
      <w:r w:rsidRPr="0061151A">
        <w:rPr>
          <w:rFonts w:eastAsia="Calibri" w:cs="Calibri"/>
          <w:sz w:val="22"/>
          <w:szCs w:val="22"/>
        </w:rPr>
        <w:t xml:space="preserve">To prepare grounds for piloting of Youth Guarantee </w:t>
      </w:r>
      <w:proofErr w:type="spellStart"/>
      <w:r w:rsidRPr="0061151A">
        <w:rPr>
          <w:rFonts w:eastAsia="Calibri" w:cs="Calibri"/>
          <w:sz w:val="22"/>
          <w:szCs w:val="22"/>
        </w:rPr>
        <w:t>Programme</w:t>
      </w:r>
      <w:proofErr w:type="spellEnd"/>
      <w:r w:rsidRPr="0061151A">
        <w:rPr>
          <w:rFonts w:eastAsia="Calibri" w:cs="Calibri"/>
          <w:sz w:val="22"/>
          <w:szCs w:val="22"/>
        </w:rPr>
        <w:t>;</w:t>
      </w:r>
    </w:p>
    <w:p w14:paraId="2EF9E8FA" w14:textId="699C6124" w:rsidR="00EF74CF" w:rsidRPr="0061151A" w:rsidRDefault="00B513FE" w:rsidP="006B4A1C">
      <w:pPr>
        <w:spacing w:after="0"/>
        <w:outlineLvl w:val="0"/>
        <w:rPr>
          <w:rStyle w:val="Strong"/>
          <w:sz w:val="22"/>
          <w:szCs w:val="22"/>
          <w:u w:val="single"/>
          <w:lang w:val="en-GB"/>
        </w:rPr>
      </w:pPr>
      <w:r w:rsidRPr="0061151A">
        <w:rPr>
          <w:rStyle w:val="Strong"/>
          <w:sz w:val="22"/>
          <w:szCs w:val="22"/>
          <w:lang w:val="en-GB"/>
        </w:rPr>
        <w:br/>
      </w:r>
      <w:r w:rsidR="00EF74CF" w:rsidRPr="0061151A">
        <w:rPr>
          <w:rStyle w:val="Strong"/>
          <w:sz w:val="22"/>
          <w:szCs w:val="22"/>
          <w:u w:val="single"/>
          <w:lang w:val="en-GB"/>
        </w:rPr>
        <w:t>II.1.5) Estimated total value</w:t>
      </w:r>
    </w:p>
    <w:p w14:paraId="7D3F8471" w14:textId="77777777" w:rsidR="006754CE" w:rsidRPr="0061151A" w:rsidRDefault="006754CE" w:rsidP="006B4A1C">
      <w:pPr>
        <w:spacing w:after="0"/>
        <w:outlineLvl w:val="0"/>
        <w:rPr>
          <w:sz w:val="22"/>
          <w:szCs w:val="22"/>
        </w:rPr>
      </w:pPr>
      <w:r w:rsidRPr="0061151A">
        <w:rPr>
          <w:sz w:val="22"/>
          <w:szCs w:val="22"/>
        </w:rPr>
        <w:t>Value excluding VAT: 1.500.000 Currency:  EUR</w:t>
      </w:r>
    </w:p>
    <w:p w14:paraId="525A1F82" w14:textId="77777777" w:rsidR="0061151A" w:rsidRPr="0061151A" w:rsidRDefault="0061151A" w:rsidP="00DB35A9">
      <w:pPr>
        <w:outlineLvl w:val="0"/>
        <w:rPr>
          <w:rStyle w:val="Strong"/>
          <w:sz w:val="22"/>
          <w:szCs w:val="22"/>
          <w:u w:val="single"/>
          <w:lang w:val="en-GB"/>
        </w:rPr>
      </w:pPr>
    </w:p>
    <w:p w14:paraId="0CD81E8E" w14:textId="77777777" w:rsidR="0061151A" w:rsidRPr="0061151A" w:rsidRDefault="0061151A" w:rsidP="00DB35A9">
      <w:pPr>
        <w:outlineLvl w:val="0"/>
        <w:rPr>
          <w:rStyle w:val="Strong"/>
          <w:sz w:val="22"/>
          <w:szCs w:val="22"/>
          <w:u w:val="single"/>
          <w:lang w:val="en-GB"/>
        </w:rPr>
      </w:pPr>
    </w:p>
    <w:p w14:paraId="2D0C78AA" w14:textId="60E692B3" w:rsidR="0061151A" w:rsidRDefault="0061151A" w:rsidP="00DB35A9">
      <w:pPr>
        <w:outlineLvl w:val="0"/>
        <w:rPr>
          <w:rStyle w:val="Strong"/>
          <w:sz w:val="22"/>
          <w:szCs w:val="22"/>
          <w:u w:val="single"/>
          <w:lang w:val="en-GB"/>
        </w:rPr>
      </w:pPr>
    </w:p>
    <w:p w14:paraId="0896D00C" w14:textId="77777777" w:rsidR="00D149D2" w:rsidRPr="0061151A" w:rsidRDefault="00D149D2" w:rsidP="00DB35A9">
      <w:pPr>
        <w:outlineLvl w:val="0"/>
        <w:rPr>
          <w:rStyle w:val="Strong"/>
          <w:sz w:val="22"/>
          <w:szCs w:val="22"/>
          <w:u w:val="single"/>
          <w:lang w:val="en-GB"/>
        </w:rPr>
      </w:pPr>
      <w:bookmarkStart w:id="1" w:name="_GoBack"/>
      <w:bookmarkEnd w:id="1"/>
    </w:p>
    <w:p w14:paraId="33FFDFE9" w14:textId="21509FBA" w:rsidR="00DB35A9" w:rsidRPr="0061151A" w:rsidRDefault="00DB35A9" w:rsidP="0061151A">
      <w:pPr>
        <w:spacing w:after="0"/>
        <w:outlineLvl w:val="0"/>
        <w:rPr>
          <w:rStyle w:val="Strong"/>
          <w:sz w:val="22"/>
          <w:szCs w:val="22"/>
          <w:u w:val="single"/>
          <w:lang w:val="en-GB"/>
        </w:rPr>
      </w:pPr>
      <w:r w:rsidRPr="0061151A">
        <w:rPr>
          <w:rStyle w:val="Strong"/>
          <w:sz w:val="22"/>
          <w:szCs w:val="22"/>
          <w:u w:val="single"/>
          <w:lang w:val="en-GB"/>
        </w:rPr>
        <w:t>IV.1.1.) Type of Procedure</w:t>
      </w:r>
    </w:p>
    <w:p w14:paraId="4E0E500F" w14:textId="77777777" w:rsidR="00A20492" w:rsidRDefault="006754CE" w:rsidP="0061151A">
      <w:pPr>
        <w:spacing w:after="0"/>
        <w:outlineLvl w:val="0"/>
        <w:rPr>
          <w:rStyle w:val="Strong"/>
          <w:sz w:val="22"/>
          <w:szCs w:val="22"/>
          <w:u w:val="single"/>
        </w:rPr>
      </w:pPr>
      <w:r w:rsidRPr="0061151A">
        <w:rPr>
          <w:rStyle w:val="Strong"/>
          <w:b w:val="0"/>
          <w:sz w:val="22"/>
          <w:szCs w:val="22"/>
          <w:u w:val="single"/>
          <w:lang w:val="en-GB"/>
        </w:rPr>
        <w:t>Restricted</w:t>
      </w:r>
      <w:r w:rsidR="00DB35A9" w:rsidRPr="0061151A">
        <w:rPr>
          <w:rStyle w:val="Strong"/>
          <w:b w:val="0"/>
          <w:sz w:val="22"/>
          <w:szCs w:val="22"/>
          <w:u w:val="single"/>
          <w:lang w:val="en-GB"/>
        </w:rPr>
        <w:br/>
      </w:r>
    </w:p>
    <w:p w14:paraId="6FFC55BD" w14:textId="77777777" w:rsidR="00A20492" w:rsidRPr="0053161A" w:rsidRDefault="00A20492" w:rsidP="00A20492">
      <w:pPr>
        <w:outlineLvl w:val="0"/>
        <w:rPr>
          <w:rStyle w:val="Strong"/>
          <w:b w:val="0"/>
          <w:sz w:val="22"/>
          <w:szCs w:val="22"/>
          <w:u w:val="single"/>
          <w:lang w:val="en-GB"/>
        </w:rPr>
      </w:pPr>
      <w:r w:rsidRPr="007C201A">
        <w:rPr>
          <w:rStyle w:val="Strong"/>
          <w:sz w:val="22"/>
          <w:szCs w:val="22"/>
          <w:u w:val="single"/>
          <w:lang w:val="en-GB"/>
        </w:rPr>
        <w:t>II.1.6) Information about lots</w:t>
      </w:r>
    </w:p>
    <w:p w14:paraId="56E5DF13" w14:textId="77777777" w:rsidR="00A20492" w:rsidRDefault="00A20492" w:rsidP="00A20492">
      <w:pPr>
        <w:spacing w:after="0"/>
        <w:outlineLvl w:val="0"/>
        <w:rPr>
          <w:rStyle w:val="Strong"/>
          <w:b w:val="0"/>
          <w:sz w:val="22"/>
          <w:szCs w:val="22"/>
          <w:lang w:val="en-GB"/>
        </w:rPr>
      </w:pPr>
      <w:r w:rsidRPr="007C201A">
        <w:rPr>
          <w:rStyle w:val="Strong"/>
          <w:b w:val="0"/>
          <w:sz w:val="22"/>
          <w:szCs w:val="22"/>
          <w:lang w:val="en-GB"/>
        </w:rPr>
        <w:t>This contract is divided into lots</w:t>
      </w:r>
      <w:r w:rsidRPr="00A52B6A">
        <w:rPr>
          <w:rStyle w:val="Strong"/>
          <w:b w:val="0"/>
          <w:sz w:val="22"/>
          <w:szCs w:val="22"/>
          <w:lang w:val="en-GB"/>
        </w:rPr>
        <w:t>:</w:t>
      </w:r>
      <w:r>
        <w:rPr>
          <w:rStyle w:val="Strong"/>
          <w:sz w:val="22"/>
          <w:szCs w:val="22"/>
          <w:lang w:val="en-GB"/>
        </w:rPr>
        <w:t xml:space="preserve"> </w:t>
      </w:r>
      <w:r>
        <w:rPr>
          <w:rStyle w:val="Strong"/>
          <w:b w:val="0"/>
          <w:sz w:val="22"/>
          <w:szCs w:val="22"/>
          <w:lang w:val="en-GB"/>
        </w:rPr>
        <w:t>no</w:t>
      </w:r>
    </w:p>
    <w:p w14:paraId="3F22C197" w14:textId="4CC5AF60" w:rsidR="00DB35A9" w:rsidRPr="0061151A" w:rsidRDefault="00045773" w:rsidP="00A20492">
      <w:pPr>
        <w:spacing w:after="0"/>
        <w:outlineLvl w:val="0"/>
        <w:rPr>
          <w:sz w:val="22"/>
          <w:szCs w:val="22"/>
          <w:u w:val="single"/>
          <w:lang w:val="en-GB"/>
        </w:rPr>
      </w:pPr>
      <w:r w:rsidRPr="0061151A">
        <w:rPr>
          <w:rStyle w:val="Strong"/>
          <w:sz w:val="22"/>
          <w:szCs w:val="22"/>
          <w:u w:val="single"/>
        </w:rPr>
        <w:br/>
      </w:r>
      <w:r w:rsidR="00297B55" w:rsidRPr="0061151A">
        <w:rPr>
          <w:rStyle w:val="Strong"/>
          <w:sz w:val="22"/>
          <w:szCs w:val="22"/>
          <w:u w:val="single"/>
        </w:rPr>
        <w:t>CALL FOR TENDER: INFORMATION PER LOT</w:t>
      </w:r>
    </w:p>
    <w:p w14:paraId="34ED54F1" w14:textId="77777777" w:rsidR="0068171E" w:rsidRPr="0061151A" w:rsidRDefault="00EF74CF" w:rsidP="0061151A">
      <w:pPr>
        <w:spacing w:after="0"/>
        <w:outlineLvl w:val="0"/>
        <w:rPr>
          <w:rStyle w:val="Strong"/>
          <w:sz w:val="22"/>
          <w:szCs w:val="22"/>
          <w:u w:val="single"/>
        </w:rPr>
      </w:pPr>
      <w:r w:rsidRPr="0061151A">
        <w:rPr>
          <w:rStyle w:val="Strong"/>
          <w:sz w:val="22"/>
          <w:szCs w:val="22"/>
          <w:u w:val="single"/>
        </w:rPr>
        <w:t>II.2) Description</w:t>
      </w:r>
    </w:p>
    <w:p w14:paraId="7579633B" w14:textId="0D46B952" w:rsidR="00EF74CF" w:rsidRPr="0061151A" w:rsidRDefault="0068171E" w:rsidP="0061151A">
      <w:pPr>
        <w:spacing w:after="0"/>
        <w:outlineLvl w:val="0"/>
        <w:rPr>
          <w:rStyle w:val="Strong"/>
          <w:sz w:val="22"/>
          <w:szCs w:val="22"/>
          <w:u w:val="single"/>
        </w:rPr>
      </w:pPr>
      <w:r w:rsidRPr="0061151A">
        <w:rPr>
          <w:rStyle w:val="Strong"/>
          <w:b w:val="0"/>
          <w:sz w:val="22"/>
          <w:szCs w:val="22"/>
          <w:lang w:val="en-GB"/>
        </w:rPr>
        <w:t>N/A</w:t>
      </w:r>
      <w:r w:rsidR="00D67F00" w:rsidRPr="0061151A">
        <w:rPr>
          <w:rStyle w:val="Strong"/>
          <w:sz w:val="22"/>
          <w:szCs w:val="22"/>
          <w:u w:val="single"/>
        </w:rPr>
        <w:br/>
      </w:r>
      <w:r w:rsidR="00EF74CF" w:rsidRPr="0061151A">
        <w:rPr>
          <w:rStyle w:val="Strong"/>
          <w:sz w:val="22"/>
          <w:szCs w:val="22"/>
        </w:rPr>
        <w:br/>
      </w:r>
      <w:r w:rsidR="00EF74CF" w:rsidRPr="0061151A">
        <w:rPr>
          <w:rStyle w:val="Strong"/>
          <w:sz w:val="22"/>
          <w:szCs w:val="22"/>
          <w:u w:val="single"/>
        </w:rPr>
        <w:t xml:space="preserve">II.2.3) Place </w:t>
      </w:r>
      <w:r w:rsidR="000E767D" w:rsidRPr="0061151A">
        <w:rPr>
          <w:rStyle w:val="Strong"/>
          <w:sz w:val="22"/>
          <w:szCs w:val="22"/>
          <w:u w:val="single"/>
        </w:rPr>
        <w:t xml:space="preserve">of </w:t>
      </w:r>
      <w:r w:rsidR="00EF74CF" w:rsidRPr="0061151A">
        <w:rPr>
          <w:rStyle w:val="Strong"/>
          <w:sz w:val="22"/>
          <w:szCs w:val="22"/>
          <w:u w:val="single"/>
        </w:rPr>
        <w:t>performance</w:t>
      </w:r>
    </w:p>
    <w:p w14:paraId="4CE0C066" w14:textId="7BB8DEC6" w:rsidR="00EF74CF" w:rsidRPr="0061151A" w:rsidRDefault="00CC6D8C" w:rsidP="0061151A">
      <w:pPr>
        <w:spacing w:after="0"/>
        <w:outlineLvl w:val="0"/>
        <w:rPr>
          <w:rStyle w:val="Strong"/>
          <w:b w:val="0"/>
          <w:sz w:val="22"/>
          <w:szCs w:val="22"/>
          <w:lang w:val="en-GB"/>
        </w:rPr>
      </w:pPr>
      <w:r w:rsidRPr="0061151A">
        <w:rPr>
          <w:rStyle w:val="Strong"/>
          <w:b w:val="0"/>
          <w:sz w:val="22"/>
          <w:szCs w:val="22"/>
          <w:lang w:val="en-GB"/>
        </w:rPr>
        <w:t>Geographical zone benefitting from the action</w:t>
      </w:r>
      <w:r w:rsidR="00EF74CF" w:rsidRPr="0061151A">
        <w:rPr>
          <w:rStyle w:val="Strong"/>
          <w:b w:val="0"/>
          <w:sz w:val="22"/>
          <w:szCs w:val="22"/>
          <w:lang w:val="en-GB"/>
        </w:rPr>
        <w:t xml:space="preserve">: </w:t>
      </w:r>
      <w:r w:rsidR="0068171E" w:rsidRPr="0061151A">
        <w:rPr>
          <w:sz w:val="22"/>
          <w:szCs w:val="22"/>
          <w:lang w:val="en-GB"/>
        </w:rPr>
        <w:t>Republic of Serbia</w:t>
      </w:r>
    </w:p>
    <w:p w14:paraId="6541ED88" w14:textId="1AEB4997" w:rsidR="00EF74CF" w:rsidRPr="0061151A" w:rsidRDefault="003C10AA" w:rsidP="0061151A">
      <w:pPr>
        <w:spacing w:after="0"/>
        <w:outlineLvl w:val="0"/>
        <w:rPr>
          <w:rStyle w:val="Strong"/>
          <w:sz w:val="22"/>
          <w:szCs w:val="22"/>
          <w:u w:val="single"/>
          <w:lang w:val="en-GB"/>
        </w:rPr>
      </w:pPr>
      <w:r w:rsidRPr="0061151A">
        <w:rPr>
          <w:rStyle w:val="Strong"/>
          <w:sz w:val="22"/>
          <w:szCs w:val="22"/>
          <w:lang w:val="en-GB"/>
        </w:rPr>
        <w:br/>
      </w:r>
      <w:r w:rsidR="00EF74CF" w:rsidRPr="0061151A">
        <w:rPr>
          <w:rStyle w:val="Strong"/>
          <w:sz w:val="22"/>
          <w:szCs w:val="22"/>
          <w:u w:val="single"/>
          <w:lang w:val="en-GB"/>
        </w:rPr>
        <w:t>II.2.5)  Award Criteria</w:t>
      </w:r>
    </w:p>
    <w:p w14:paraId="3E4E190D" w14:textId="77777777" w:rsidR="0068171E" w:rsidRPr="0061151A" w:rsidRDefault="0068171E" w:rsidP="0061151A">
      <w:pPr>
        <w:spacing w:after="0"/>
        <w:outlineLvl w:val="0"/>
        <w:rPr>
          <w:sz w:val="22"/>
          <w:szCs w:val="22"/>
        </w:rPr>
      </w:pPr>
      <w:r w:rsidRPr="0061151A">
        <w:rPr>
          <w:sz w:val="22"/>
          <w:szCs w:val="22"/>
        </w:rPr>
        <w:t>Price is not the only award criterion and all criteria are stated only in the procurement documents</w:t>
      </w:r>
    </w:p>
    <w:p w14:paraId="41C0250D" w14:textId="77777777" w:rsidR="00EF74CF" w:rsidRPr="0061151A" w:rsidRDefault="00EF74CF" w:rsidP="0061151A">
      <w:pPr>
        <w:spacing w:after="0"/>
        <w:outlineLvl w:val="0"/>
        <w:rPr>
          <w:rStyle w:val="Strong"/>
          <w:sz w:val="22"/>
          <w:szCs w:val="22"/>
          <w:u w:val="single"/>
          <w:lang w:val="en-GB"/>
        </w:rPr>
      </w:pPr>
      <w:r w:rsidRPr="0061151A">
        <w:rPr>
          <w:rStyle w:val="Strong"/>
          <w:sz w:val="22"/>
          <w:szCs w:val="22"/>
          <w:u w:val="single"/>
          <w:lang w:val="en-GB"/>
        </w:rPr>
        <w:br/>
        <w:t>II.2.14) Additional information</w:t>
      </w:r>
    </w:p>
    <w:p w14:paraId="035A4BBA" w14:textId="026EF654" w:rsidR="00EF74CF" w:rsidRDefault="00EF74CF" w:rsidP="0061151A">
      <w:pPr>
        <w:spacing w:after="0"/>
        <w:outlineLvl w:val="0"/>
        <w:rPr>
          <w:rStyle w:val="Strong"/>
          <w:b w:val="0"/>
          <w:sz w:val="22"/>
          <w:szCs w:val="22"/>
          <w:lang w:val="en-GB"/>
        </w:rPr>
      </w:pPr>
      <w:r w:rsidRPr="0061151A">
        <w:rPr>
          <w:rStyle w:val="Strong"/>
          <w:b w:val="0"/>
          <w:sz w:val="22"/>
          <w:szCs w:val="22"/>
          <w:lang w:val="en-GB"/>
        </w:rPr>
        <w:t>Additional services/works</w:t>
      </w:r>
      <w:r w:rsidR="00CC6D8C" w:rsidRPr="0061151A">
        <w:rPr>
          <w:rStyle w:val="Strong"/>
          <w:b w:val="0"/>
          <w:sz w:val="22"/>
          <w:szCs w:val="22"/>
          <w:lang w:val="en-GB"/>
        </w:rPr>
        <w:t xml:space="preserve"> </w:t>
      </w:r>
    </w:p>
    <w:p w14:paraId="75ECA30B" w14:textId="77777777" w:rsidR="00A20492" w:rsidRPr="0061151A" w:rsidRDefault="00A20492" w:rsidP="0061151A">
      <w:pPr>
        <w:spacing w:after="0"/>
        <w:outlineLvl w:val="0"/>
        <w:rPr>
          <w:rStyle w:val="Strong"/>
          <w:b w:val="0"/>
          <w:sz w:val="22"/>
          <w:szCs w:val="22"/>
          <w:lang w:val="en-GB"/>
        </w:rPr>
      </w:pPr>
    </w:p>
    <w:p w14:paraId="697C1202" w14:textId="76BBD13F" w:rsidR="006C0693" w:rsidRPr="0061151A" w:rsidRDefault="00D44E75" w:rsidP="0061151A">
      <w:pPr>
        <w:spacing w:before="0" w:after="0"/>
        <w:jc w:val="both"/>
        <w:outlineLvl w:val="0"/>
        <w:rPr>
          <w:rStyle w:val="Strong"/>
          <w:b w:val="0"/>
          <w:sz w:val="22"/>
          <w:szCs w:val="22"/>
          <w:lang w:val="en-GB"/>
        </w:rPr>
      </w:pPr>
      <w:r w:rsidRPr="0061151A">
        <w:rPr>
          <w:rStyle w:val="Strong"/>
          <w:b w:val="0"/>
          <w:sz w:val="22"/>
          <w:szCs w:val="22"/>
          <w:lang w:val="en-GB"/>
        </w:rPr>
        <w:t>Provided they are in conformity with the basic project, new services or works consisting in the repetition of similar services or works, may</w:t>
      </w:r>
      <w:r w:rsidR="00D66C8E" w:rsidRPr="0061151A">
        <w:rPr>
          <w:rStyle w:val="Strong"/>
          <w:b w:val="0"/>
          <w:sz w:val="22"/>
          <w:szCs w:val="22"/>
          <w:lang w:val="en-GB"/>
        </w:rPr>
        <w:t xml:space="preserve"> be entrusted up to 100%</w:t>
      </w:r>
      <w:r w:rsidRPr="0061151A">
        <w:rPr>
          <w:rStyle w:val="Strong"/>
          <w:b w:val="0"/>
          <w:sz w:val="22"/>
          <w:szCs w:val="22"/>
          <w:lang w:val="en-GB"/>
        </w:rPr>
        <w:t xml:space="preserve"> of the initial contract to the initial contractor by negotiated procedure without prior publication of a contract notice.</w:t>
      </w:r>
    </w:p>
    <w:p w14:paraId="4772D783" w14:textId="3F4A0F7F" w:rsidR="00CC6D8C" w:rsidRPr="0061151A" w:rsidRDefault="00D67F00" w:rsidP="0061151A">
      <w:pPr>
        <w:spacing w:after="0"/>
        <w:outlineLvl w:val="0"/>
        <w:rPr>
          <w:rStyle w:val="Strong"/>
          <w:sz w:val="22"/>
          <w:szCs w:val="22"/>
          <w:u w:val="single"/>
          <w:lang w:val="en-GB"/>
        </w:rPr>
      </w:pPr>
      <w:r w:rsidRPr="0061151A">
        <w:rPr>
          <w:rStyle w:val="Strong"/>
          <w:sz w:val="22"/>
          <w:szCs w:val="22"/>
          <w:lang w:val="en-GB"/>
        </w:rPr>
        <w:br/>
      </w:r>
      <w:r w:rsidR="00CC6D8C" w:rsidRPr="0061151A">
        <w:rPr>
          <w:rStyle w:val="Strong"/>
          <w:sz w:val="22"/>
          <w:szCs w:val="22"/>
          <w:u w:val="single"/>
          <w:lang w:val="en-GB"/>
        </w:rPr>
        <w:t xml:space="preserve">IV.2.2) Time limit for </w:t>
      </w:r>
      <w:r w:rsidR="00D25196" w:rsidRPr="0061151A">
        <w:rPr>
          <w:rStyle w:val="Strong"/>
          <w:sz w:val="22"/>
          <w:szCs w:val="22"/>
          <w:u w:val="single"/>
          <w:lang w:val="en-GB"/>
        </w:rPr>
        <w:t>submission</w:t>
      </w:r>
      <w:r w:rsidR="00CC6D8C" w:rsidRPr="0061151A">
        <w:rPr>
          <w:rStyle w:val="Strong"/>
          <w:sz w:val="22"/>
          <w:szCs w:val="22"/>
          <w:u w:val="single"/>
          <w:lang w:val="en-GB"/>
        </w:rPr>
        <w:t xml:space="preserve"> of tenders or requests to participate</w:t>
      </w:r>
    </w:p>
    <w:p w14:paraId="700B5FB4" w14:textId="0E6B482B" w:rsidR="0068171E" w:rsidRPr="0061151A" w:rsidRDefault="00785E63" w:rsidP="0061151A">
      <w:pPr>
        <w:spacing w:after="0"/>
        <w:outlineLvl w:val="0"/>
        <w:rPr>
          <w:rStyle w:val="Strong"/>
          <w:b w:val="0"/>
          <w:sz w:val="22"/>
          <w:szCs w:val="22"/>
          <w:lang w:val="sr-Latn-RS"/>
        </w:rPr>
      </w:pPr>
      <w:r w:rsidRPr="00407F45">
        <w:rPr>
          <w:rStyle w:val="Strong"/>
          <w:b w:val="0"/>
          <w:sz w:val="22"/>
          <w:szCs w:val="22"/>
          <w:lang w:val="en-GB"/>
        </w:rPr>
        <w:t>Date: 05</w:t>
      </w:r>
      <w:r w:rsidR="0068171E" w:rsidRPr="00407F45">
        <w:rPr>
          <w:rStyle w:val="Strong"/>
          <w:b w:val="0"/>
          <w:sz w:val="22"/>
          <w:szCs w:val="22"/>
          <w:lang w:val="en-GB"/>
        </w:rPr>
        <w:t>/0</w:t>
      </w:r>
      <w:r w:rsidRPr="00407F45">
        <w:rPr>
          <w:rStyle w:val="Strong"/>
          <w:b w:val="0"/>
          <w:sz w:val="22"/>
          <w:szCs w:val="22"/>
          <w:lang w:val="en-GB"/>
        </w:rPr>
        <w:t>8</w:t>
      </w:r>
      <w:r w:rsidR="00B41BC6" w:rsidRPr="00407F45">
        <w:rPr>
          <w:rStyle w:val="Strong"/>
          <w:b w:val="0"/>
          <w:sz w:val="22"/>
          <w:szCs w:val="22"/>
          <w:lang w:val="en-GB"/>
        </w:rPr>
        <w:t>/2022</w:t>
      </w:r>
      <w:r w:rsidR="00B41BC6" w:rsidRPr="00407F45">
        <w:rPr>
          <w:rStyle w:val="Strong"/>
          <w:b w:val="0"/>
          <w:sz w:val="22"/>
          <w:szCs w:val="22"/>
          <w:lang w:val="en-GB"/>
        </w:rPr>
        <w:br/>
        <w:t>Local Time: 12</w:t>
      </w:r>
      <w:r w:rsidR="0068171E" w:rsidRPr="00407F45">
        <w:rPr>
          <w:rStyle w:val="Strong"/>
          <w:b w:val="0"/>
          <w:sz w:val="22"/>
          <w:szCs w:val="22"/>
          <w:lang w:val="sr-Latn-RS"/>
        </w:rPr>
        <w:t>:00</w:t>
      </w:r>
      <w:r w:rsidR="007327A8" w:rsidRPr="00407F45">
        <w:rPr>
          <w:rStyle w:val="Strong"/>
          <w:b w:val="0"/>
          <w:sz w:val="22"/>
          <w:szCs w:val="22"/>
          <w:lang w:val="sr-Latn-RS"/>
        </w:rPr>
        <w:t xml:space="preserve"> CET</w:t>
      </w:r>
    </w:p>
    <w:p w14:paraId="1176BE21" w14:textId="3FBDD118" w:rsidR="00CC6D8C" w:rsidRPr="0061151A" w:rsidRDefault="00CC6D8C" w:rsidP="00A20492">
      <w:pPr>
        <w:spacing w:before="0" w:after="0"/>
        <w:outlineLvl w:val="0"/>
        <w:rPr>
          <w:rStyle w:val="Strong"/>
          <w:sz w:val="22"/>
          <w:szCs w:val="22"/>
          <w:u w:val="single"/>
          <w:lang w:val="en-GB"/>
        </w:rPr>
      </w:pPr>
      <w:r w:rsidRPr="0061151A">
        <w:rPr>
          <w:rStyle w:val="Strong"/>
          <w:sz w:val="22"/>
          <w:szCs w:val="22"/>
          <w:lang w:val="en-GB"/>
        </w:rPr>
        <w:br/>
      </w:r>
      <w:r w:rsidRPr="0061151A">
        <w:rPr>
          <w:rStyle w:val="Strong"/>
          <w:sz w:val="22"/>
          <w:szCs w:val="22"/>
          <w:u w:val="single"/>
          <w:lang w:val="en-GB"/>
        </w:rPr>
        <w:t>IV.2.6) Minimum time frame during which the tenderer must maintain the tender</w:t>
      </w:r>
    </w:p>
    <w:p w14:paraId="486B4900" w14:textId="77777777" w:rsidR="00A20492" w:rsidRDefault="00A20492" w:rsidP="00A20492">
      <w:pPr>
        <w:spacing w:before="0" w:after="0"/>
        <w:outlineLvl w:val="0"/>
        <w:rPr>
          <w:rStyle w:val="Strong"/>
          <w:b w:val="0"/>
          <w:sz w:val="22"/>
          <w:szCs w:val="22"/>
          <w:lang w:val="en-GB"/>
        </w:rPr>
      </w:pPr>
    </w:p>
    <w:p w14:paraId="1610CF21" w14:textId="73B6D737" w:rsidR="0068171E" w:rsidRPr="0061151A" w:rsidRDefault="0068171E" w:rsidP="00A20492">
      <w:pPr>
        <w:spacing w:before="0" w:after="0"/>
        <w:outlineLvl w:val="0"/>
        <w:rPr>
          <w:rStyle w:val="Strong"/>
          <w:b w:val="0"/>
          <w:sz w:val="22"/>
          <w:szCs w:val="22"/>
          <w:lang w:val="en-GB"/>
        </w:rPr>
      </w:pPr>
      <w:r w:rsidRPr="0061151A">
        <w:rPr>
          <w:rStyle w:val="Strong"/>
          <w:b w:val="0"/>
          <w:sz w:val="22"/>
          <w:szCs w:val="22"/>
          <w:lang w:val="en-GB"/>
        </w:rPr>
        <w:t>N/A</w:t>
      </w:r>
    </w:p>
    <w:p w14:paraId="33894EC1" w14:textId="36DEA29A" w:rsidR="00CC6D8C" w:rsidRPr="0061151A" w:rsidRDefault="00CC6D8C" w:rsidP="00A20492">
      <w:pPr>
        <w:spacing w:before="0" w:after="0"/>
        <w:outlineLvl w:val="0"/>
        <w:rPr>
          <w:rStyle w:val="Strong"/>
          <w:b w:val="0"/>
          <w:sz w:val="22"/>
          <w:szCs w:val="22"/>
          <w:lang w:val="en-GB"/>
        </w:rPr>
      </w:pPr>
      <w:r w:rsidRPr="0061151A">
        <w:rPr>
          <w:rStyle w:val="Strong"/>
          <w:sz w:val="22"/>
          <w:szCs w:val="22"/>
          <w:u w:val="single"/>
          <w:lang w:val="en-GB"/>
        </w:rPr>
        <w:br/>
        <w:t xml:space="preserve">IV.2.7) Conditions for opening of tenders </w:t>
      </w:r>
    </w:p>
    <w:p w14:paraId="1BF0DA77" w14:textId="77777777" w:rsidR="00280B88" w:rsidRDefault="00280B88" w:rsidP="00A20492">
      <w:pPr>
        <w:spacing w:before="0" w:after="0"/>
        <w:outlineLvl w:val="0"/>
        <w:rPr>
          <w:rStyle w:val="Strong"/>
          <w:b w:val="0"/>
          <w:sz w:val="22"/>
          <w:szCs w:val="22"/>
          <w:lang w:val="en-GB"/>
        </w:rPr>
      </w:pPr>
    </w:p>
    <w:p w14:paraId="77FF6F00" w14:textId="4E15231C" w:rsidR="00B31663" w:rsidRDefault="00B31663" w:rsidP="00A20492">
      <w:pPr>
        <w:spacing w:before="0" w:after="0"/>
        <w:outlineLvl w:val="0"/>
        <w:rPr>
          <w:rStyle w:val="Strong"/>
          <w:b w:val="0"/>
          <w:sz w:val="22"/>
          <w:szCs w:val="22"/>
          <w:lang w:val="en-GB"/>
        </w:rPr>
      </w:pPr>
      <w:r w:rsidRPr="0061151A">
        <w:rPr>
          <w:rStyle w:val="Strong"/>
          <w:b w:val="0"/>
          <w:sz w:val="22"/>
          <w:szCs w:val="22"/>
          <w:lang w:val="en-GB"/>
        </w:rPr>
        <w:t>N/A</w:t>
      </w:r>
    </w:p>
    <w:p w14:paraId="4B3F0DCB" w14:textId="1F576D0E" w:rsidR="00DE28AE" w:rsidRPr="00D225CC" w:rsidRDefault="00CC6D8C" w:rsidP="008F66E7">
      <w:pPr>
        <w:outlineLvl w:val="0"/>
        <w:rPr>
          <w:lang w:val="en-GB"/>
        </w:rPr>
      </w:pPr>
      <w:r w:rsidRPr="00F82AA4">
        <w:rPr>
          <w:rStyle w:val="Strong"/>
          <w:b w:val="0"/>
          <w:sz w:val="22"/>
          <w:szCs w:val="22"/>
          <w:lang w:val="en-GB"/>
        </w:rPr>
        <w:br/>
      </w:r>
    </w:p>
    <w:sectPr w:rsidR="00DE28AE" w:rsidRPr="00D225CC" w:rsidSect="00BC34CF">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37B3" w14:textId="77777777" w:rsidR="000448DA" w:rsidRDefault="000448DA">
      <w:r>
        <w:separator/>
      </w:r>
    </w:p>
  </w:endnote>
  <w:endnote w:type="continuationSeparator" w:id="0">
    <w:p w14:paraId="77EFC134" w14:textId="77777777" w:rsidR="000448DA" w:rsidRDefault="0004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5F49718C" w:rsidR="00B22E7F" w:rsidRDefault="00075FAC" w:rsidP="003D4201">
    <w:pPr>
      <w:pStyle w:val="Footer"/>
      <w:tabs>
        <w:tab w:val="clear" w:pos="4320"/>
        <w:tab w:val="clear" w:pos="8640"/>
        <w:tab w:val="right" w:pos="9214"/>
      </w:tabs>
      <w:spacing w:before="120" w:after="0"/>
      <w:rPr>
        <w:b/>
        <w:sz w:val="18"/>
        <w:szCs w:val="18"/>
        <w:lang w:val="en-GB"/>
      </w:rPr>
    </w:pPr>
    <w:r>
      <w:rPr>
        <w:b/>
        <w:sz w:val="18"/>
        <w:szCs w:val="18"/>
        <w:lang w:val="en-GB"/>
      </w:rPr>
      <w:t>Decem</w:t>
    </w:r>
    <w:r w:rsidR="00750592">
      <w:rPr>
        <w:b/>
        <w:sz w:val="18"/>
        <w:szCs w:val="18"/>
        <w:lang w:val="en-GB"/>
      </w:rPr>
      <w:t>ber</w:t>
    </w:r>
    <w:r w:rsidR="00B56D0A">
      <w:rPr>
        <w:b/>
        <w:sz w:val="18"/>
        <w:szCs w:val="18"/>
        <w:lang w:val="en-GB"/>
      </w:rPr>
      <w:t xml:space="preserve"> </w:t>
    </w:r>
    <w:r w:rsidR="004F74D1">
      <w:rPr>
        <w:b/>
        <w:sz w:val="18"/>
        <w:szCs w:val="18"/>
        <w:lang w:val="en-GB"/>
      </w:rPr>
      <w:t>202</w:t>
    </w:r>
    <w:r w:rsidR="002B74FD">
      <w:rPr>
        <w:b/>
        <w:sz w:val="18"/>
        <w:szCs w:val="18"/>
        <w:lang w:val="en-GB"/>
      </w:rPr>
      <w:t>1</w:t>
    </w:r>
  </w:p>
  <w:p w14:paraId="0057A180" w14:textId="601386E1"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D149D2">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D149D2">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9ABE" w14:textId="77777777" w:rsidR="000448DA" w:rsidRDefault="000448DA">
      <w:r>
        <w:separator/>
      </w:r>
    </w:p>
  </w:footnote>
  <w:footnote w:type="continuationSeparator" w:id="0">
    <w:p w14:paraId="00EE6280" w14:textId="77777777" w:rsidR="000448DA" w:rsidRDefault="000448DA">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6"/>
  </w:num>
  <w:num w:numId="41">
    <w:abstractNumId w:val="40"/>
  </w:num>
  <w:num w:numId="42">
    <w:abstractNumId w:val="43"/>
  </w:num>
  <w:num w:numId="43">
    <w:abstractNumId w:val="37"/>
  </w:num>
  <w:num w:numId="44">
    <w:abstractNumId w:val="3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48DA"/>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24E0"/>
    <w:rsid w:val="001F47F3"/>
    <w:rsid w:val="001F5D80"/>
    <w:rsid w:val="00201320"/>
    <w:rsid w:val="00210466"/>
    <w:rsid w:val="00221CCE"/>
    <w:rsid w:val="002226A7"/>
    <w:rsid w:val="00226829"/>
    <w:rsid w:val="00231106"/>
    <w:rsid w:val="00233B9D"/>
    <w:rsid w:val="00233DDA"/>
    <w:rsid w:val="00250A28"/>
    <w:rsid w:val="00266EB9"/>
    <w:rsid w:val="00280B88"/>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6F77"/>
    <w:rsid w:val="003378F6"/>
    <w:rsid w:val="00342E7F"/>
    <w:rsid w:val="00345518"/>
    <w:rsid w:val="00346B3B"/>
    <w:rsid w:val="00347673"/>
    <w:rsid w:val="0036159C"/>
    <w:rsid w:val="003717BC"/>
    <w:rsid w:val="00371FD9"/>
    <w:rsid w:val="00372452"/>
    <w:rsid w:val="0038633F"/>
    <w:rsid w:val="00386E96"/>
    <w:rsid w:val="0038796E"/>
    <w:rsid w:val="00391200"/>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07F45"/>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0462"/>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574D"/>
    <w:rsid w:val="005D720E"/>
    <w:rsid w:val="005E3AE0"/>
    <w:rsid w:val="005E3EEE"/>
    <w:rsid w:val="005E53BD"/>
    <w:rsid w:val="005F776D"/>
    <w:rsid w:val="00603F87"/>
    <w:rsid w:val="0061151A"/>
    <w:rsid w:val="0061336A"/>
    <w:rsid w:val="00626BBA"/>
    <w:rsid w:val="00627FB4"/>
    <w:rsid w:val="00637237"/>
    <w:rsid w:val="0064066F"/>
    <w:rsid w:val="006438C5"/>
    <w:rsid w:val="0064390B"/>
    <w:rsid w:val="00651CAF"/>
    <w:rsid w:val="00652EFC"/>
    <w:rsid w:val="006552B5"/>
    <w:rsid w:val="00663C6D"/>
    <w:rsid w:val="006738B9"/>
    <w:rsid w:val="00674F9C"/>
    <w:rsid w:val="006754CE"/>
    <w:rsid w:val="0067554A"/>
    <w:rsid w:val="00675EEE"/>
    <w:rsid w:val="006770CA"/>
    <w:rsid w:val="0068171E"/>
    <w:rsid w:val="00686C3A"/>
    <w:rsid w:val="0068769C"/>
    <w:rsid w:val="00697F82"/>
    <w:rsid w:val="006A0175"/>
    <w:rsid w:val="006A0598"/>
    <w:rsid w:val="006A2F21"/>
    <w:rsid w:val="006A318A"/>
    <w:rsid w:val="006A3716"/>
    <w:rsid w:val="006A66DA"/>
    <w:rsid w:val="006A7394"/>
    <w:rsid w:val="006B2F6C"/>
    <w:rsid w:val="006B3D18"/>
    <w:rsid w:val="006B4A1C"/>
    <w:rsid w:val="006B59B9"/>
    <w:rsid w:val="006C0693"/>
    <w:rsid w:val="006C0EB6"/>
    <w:rsid w:val="006C0F37"/>
    <w:rsid w:val="006C1CA0"/>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27A8"/>
    <w:rsid w:val="00735C56"/>
    <w:rsid w:val="00745DBA"/>
    <w:rsid w:val="00746DDB"/>
    <w:rsid w:val="007471C5"/>
    <w:rsid w:val="00750592"/>
    <w:rsid w:val="00750FF8"/>
    <w:rsid w:val="00752A71"/>
    <w:rsid w:val="00753FC2"/>
    <w:rsid w:val="00756C38"/>
    <w:rsid w:val="00761673"/>
    <w:rsid w:val="00761893"/>
    <w:rsid w:val="007653F4"/>
    <w:rsid w:val="007727F3"/>
    <w:rsid w:val="00783B39"/>
    <w:rsid w:val="00785E63"/>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469E5"/>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9690B"/>
    <w:rsid w:val="009B06B5"/>
    <w:rsid w:val="009B0DBF"/>
    <w:rsid w:val="009B5E33"/>
    <w:rsid w:val="009B6F36"/>
    <w:rsid w:val="009C0E9E"/>
    <w:rsid w:val="009C4007"/>
    <w:rsid w:val="009C7312"/>
    <w:rsid w:val="009D6350"/>
    <w:rsid w:val="009D6916"/>
    <w:rsid w:val="009D7EA9"/>
    <w:rsid w:val="009E4662"/>
    <w:rsid w:val="009E5005"/>
    <w:rsid w:val="009F128B"/>
    <w:rsid w:val="00A03055"/>
    <w:rsid w:val="00A11931"/>
    <w:rsid w:val="00A171EA"/>
    <w:rsid w:val="00A20492"/>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31663"/>
    <w:rsid w:val="00B41BC6"/>
    <w:rsid w:val="00B46840"/>
    <w:rsid w:val="00B513FE"/>
    <w:rsid w:val="00B5587D"/>
    <w:rsid w:val="00B56D0A"/>
    <w:rsid w:val="00B60EC5"/>
    <w:rsid w:val="00B72045"/>
    <w:rsid w:val="00B740D9"/>
    <w:rsid w:val="00B74AA7"/>
    <w:rsid w:val="00B7586A"/>
    <w:rsid w:val="00B76345"/>
    <w:rsid w:val="00B8238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452B"/>
    <w:rsid w:val="00C362FE"/>
    <w:rsid w:val="00C3644F"/>
    <w:rsid w:val="00C460D8"/>
    <w:rsid w:val="00C545B1"/>
    <w:rsid w:val="00C579ED"/>
    <w:rsid w:val="00C70AAE"/>
    <w:rsid w:val="00C712DE"/>
    <w:rsid w:val="00C8296E"/>
    <w:rsid w:val="00C83C65"/>
    <w:rsid w:val="00C840D0"/>
    <w:rsid w:val="00C90172"/>
    <w:rsid w:val="00C91095"/>
    <w:rsid w:val="00C9618B"/>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12F7A"/>
    <w:rsid w:val="00D149D2"/>
    <w:rsid w:val="00D225CC"/>
    <w:rsid w:val="00D22682"/>
    <w:rsid w:val="00D240C3"/>
    <w:rsid w:val="00D25196"/>
    <w:rsid w:val="00D32D73"/>
    <w:rsid w:val="00D339BD"/>
    <w:rsid w:val="00D3673A"/>
    <w:rsid w:val="00D36765"/>
    <w:rsid w:val="00D40309"/>
    <w:rsid w:val="00D44E75"/>
    <w:rsid w:val="00D46724"/>
    <w:rsid w:val="00D47080"/>
    <w:rsid w:val="00D517A4"/>
    <w:rsid w:val="00D53C59"/>
    <w:rsid w:val="00D549F4"/>
    <w:rsid w:val="00D640F5"/>
    <w:rsid w:val="00D66C8E"/>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619"/>
    <w:rsid w:val="00F82AA4"/>
    <w:rsid w:val="00F84498"/>
    <w:rsid w:val="00F90AC2"/>
    <w:rsid w:val="00F91683"/>
    <w:rsid w:val="00FA17FC"/>
    <w:rsid w:val="00FA43CC"/>
    <w:rsid w:val="00FB17AC"/>
    <w:rsid w:val="00FB7051"/>
    <w:rsid w:val="00FC08E1"/>
    <w:rsid w:val="00FC622D"/>
    <w:rsid w:val="00FE62A5"/>
    <w:rsid w:val="00FE6A9C"/>
    <w:rsid w:val="00FE6CB8"/>
    <w:rsid w:val="00FF0F51"/>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6754CE"/>
    <w:pPr>
      <w:widowControl/>
      <w:spacing w:before="0" w:after="0"/>
      <w:ind w:left="720"/>
    </w:pPr>
    <w:rPr>
      <w:rFonts w:ascii="Calibri" w:eastAsia="Calibri" w:hAnsi="Calibri" w:cs="Calibri"/>
      <w:snapToGrid/>
      <w:sz w:val="22"/>
      <w:szCs w:val="22"/>
      <w:lang w:val="en-GB" w:eastAsia="en-GB"/>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6754CE"/>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u.questions@mfin.gov.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B85E-19DA-40BE-B4E2-785A2C6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53325-4279-4A03-A01A-96E7BA315DCB}">
  <ds:schemaRefs>
    <ds:schemaRef ds:uri="http://schemas.microsoft.com/sharepoint/v3/contenttype/forms"/>
  </ds:schemaRefs>
</ds:datastoreItem>
</file>

<file path=customXml/itemProps3.xml><?xml version="1.0" encoding="utf-8"?>
<ds:datastoreItem xmlns:ds="http://schemas.openxmlformats.org/officeDocument/2006/customXml" ds:itemID="{DC28DE78-9FE7-4C91-A060-088C43D10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F63D1-04CA-4A5C-B2C3-84A00487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Dejan Milisavljević</cp:lastModifiedBy>
  <cp:revision>17</cp:revision>
  <cp:lastPrinted>2014-01-30T15:32:00Z</cp:lastPrinted>
  <dcterms:created xsi:type="dcterms:W3CDTF">2021-12-20T09:04:00Z</dcterms:created>
  <dcterms:modified xsi:type="dcterms:W3CDTF">2022-07-04T06:49:00Z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