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60"/>
        <w:tblW w:w="0" w:type="auto"/>
        <w:tblLayout w:type="fixed"/>
        <w:tblLook w:val="0000" w:firstRow="0" w:lastRow="0" w:firstColumn="0" w:lastColumn="0" w:noHBand="0" w:noVBand="0"/>
      </w:tblPr>
      <w:tblGrid>
        <w:gridCol w:w="4404"/>
      </w:tblGrid>
      <w:tr w:rsidR="004B1101" w:rsidRPr="00F72ADA" w14:paraId="3B3975B7" w14:textId="77777777" w:rsidTr="004058D7">
        <w:trPr>
          <w:trHeight w:val="1079"/>
        </w:trPr>
        <w:tc>
          <w:tcPr>
            <w:tcW w:w="4404" w:type="dxa"/>
          </w:tcPr>
          <w:p w14:paraId="6DCAE2BE" w14:textId="77777777" w:rsidR="004B1101" w:rsidRPr="00F72ADA" w:rsidRDefault="00BC04D6" w:rsidP="004058D7">
            <w:pPr>
              <w:jc w:val="center"/>
              <w:rPr>
                <w:sz w:val="23"/>
                <w:szCs w:val="23"/>
                <w:lang w:val="en-GB"/>
              </w:rPr>
            </w:pPr>
            <w:r w:rsidRPr="00F72ADA">
              <w:rPr>
                <w:noProof/>
                <w:sz w:val="23"/>
                <w:szCs w:val="23"/>
              </w:rPr>
              <w:drawing>
                <wp:inline distT="0" distB="0" distL="0" distR="0" wp14:anchorId="76396490" wp14:editId="12D3D124">
                  <wp:extent cx="417195" cy="687705"/>
                  <wp:effectExtent l="19050" t="0" r="190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cstate="print"/>
                          <a:srcRect/>
                          <a:stretch>
                            <a:fillRect/>
                          </a:stretch>
                        </pic:blipFill>
                        <pic:spPr bwMode="auto">
                          <a:xfrm>
                            <a:off x="0" y="0"/>
                            <a:ext cx="417195" cy="687705"/>
                          </a:xfrm>
                          <a:prstGeom prst="rect">
                            <a:avLst/>
                          </a:prstGeom>
                          <a:noFill/>
                          <a:ln w="9525">
                            <a:noFill/>
                            <a:miter lim="800000"/>
                            <a:headEnd/>
                            <a:tailEnd/>
                          </a:ln>
                        </pic:spPr>
                      </pic:pic>
                    </a:graphicData>
                  </a:graphic>
                </wp:inline>
              </w:drawing>
            </w:r>
          </w:p>
          <w:p w14:paraId="1B698C56" w14:textId="77777777" w:rsidR="004B1101" w:rsidRPr="00F72ADA" w:rsidRDefault="00975FE6" w:rsidP="004058D7">
            <w:pPr>
              <w:jc w:val="center"/>
              <w:rPr>
                <w:sz w:val="23"/>
                <w:szCs w:val="23"/>
                <w:lang w:val="en-GB"/>
              </w:rPr>
            </w:pPr>
            <w:r w:rsidRPr="00F72ADA">
              <w:rPr>
                <w:sz w:val="23"/>
                <w:szCs w:val="23"/>
                <w:lang w:val="en-GB"/>
              </w:rPr>
              <w:t>Rep</w:t>
            </w:r>
            <w:r w:rsidR="00656C37" w:rsidRPr="00F72ADA">
              <w:rPr>
                <w:sz w:val="23"/>
                <w:szCs w:val="23"/>
                <w:lang w:val="en-GB"/>
              </w:rPr>
              <w:t>u</w:t>
            </w:r>
            <w:r w:rsidRPr="00F72ADA">
              <w:rPr>
                <w:sz w:val="23"/>
                <w:szCs w:val="23"/>
                <w:lang w:val="en-GB"/>
              </w:rPr>
              <w:t>blic of Serbia</w:t>
            </w:r>
          </w:p>
        </w:tc>
      </w:tr>
      <w:tr w:rsidR="004B1101" w:rsidRPr="00F72ADA" w14:paraId="1180C14F" w14:textId="77777777" w:rsidTr="004058D7">
        <w:tc>
          <w:tcPr>
            <w:tcW w:w="4404" w:type="dxa"/>
          </w:tcPr>
          <w:p w14:paraId="2665C958" w14:textId="77777777" w:rsidR="00897C1E" w:rsidRPr="00F72ADA" w:rsidRDefault="00975FE6" w:rsidP="004058D7">
            <w:pPr>
              <w:jc w:val="center"/>
              <w:rPr>
                <w:b/>
                <w:sz w:val="23"/>
                <w:szCs w:val="23"/>
                <w:lang w:val="en-GB"/>
              </w:rPr>
            </w:pPr>
            <w:r w:rsidRPr="00F72ADA">
              <w:rPr>
                <w:b/>
                <w:bCs/>
                <w:sz w:val="23"/>
                <w:szCs w:val="23"/>
                <w:lang w:val="en-GB"/>
              </w:rPr>
              <w:t xml:space="preserve">MINISTRY OF </w:t>
            </w:r>
            <w:r w:rsidR="004C3328" w:rsidRPr="00F72ADA">
              <w:rPr>
                <w:b/>
                <w:sz w:val="23"/>
                <w:szCs w:val="23"/>
                <w:lang w:val="en-GB"/>
              </w:rPr>
              <w:t>FINANCE</w:t>
            </w:r>
          </w:p>
          <w:p w14:paraId="29EA02F9" w14:textId="77777777" w:rsidR="004B1101" w:rsidRPr="00F72ADA" w:rsidRDefault="004C3328" w:rsidP="004058D7">
            <w:pPr>
              <w:jc w:val="center"/>
              <w:rPr>
                <w:b/>
                <w:bCs/>
                <w:sz w:val="23"/>
                <w:szCs w:val="23"/>
                <w:lang w:val="en-GB"/>
              </w:rPr>
            </w:pPr>
            <w:r w:rsidRPr="00F72ADA">
              <w:rPr>
                <w:sz w:val="23"/>
                <w:szCs w:val="23"/>
                <w:lang w:val="en-GB"/>
              </w:rPr>
              <w:t>Department for Contracting and Financing of EU Funded Programmes (CFCU)</w:t>
            </w:r>
          </w:p>
        </w:tc>
      </w:tr>
      <w:tr w:rsidR="004B1101" w:rsidRPr="00F72ADA" w14:paraId="62D4BD9B" w14:textId="77777777" w:rsidTr="004058D7">
        <w:tc>
          <w:tcPr>
            <w:tcW w:w="4404" w:type="dxa"/>
          </w:tcPr>
          <w:p w14:paraId="1384A5AE" w14:textId="25635715" w:rsidR="004B1101" w:rsidRPr="00F72ADA" w:rsidRDefault="002625E9" w:rsidP="006C4D24">
            <w:pPr>
              <w:jc w:val="center"/>
              <w:rPr>
                <w:sz w:val="23"/>
                <w:szCs w:val="23"/>
                <w:lang w:val="en-GB"/>
              </w:rPr>
            </w:pPr>
            <w:r w:rsidRPr="00F72ADA">
              <w:rPr>
                <w:sz w:val="23"/>
                <w:szCs w:val="23"/>
                <w:lang w:val="en-GB"/>
              </w:rPr>
              <w:t>Date</w:t>
            </w:r>
            <w:r w:rsidR="00FF0624" w:rsidRPr="00F72ADA">
              <w:rPr>
                <w:sz w:val="23"/>
                <w:szCs w:val="23"/>
                <w:lang w:val="en-GB"/>
              </w:rPr>
              <w:t xml:space="preserve">: </w:t>
            </w:r>
            <w:r w:rsidR="004058D7" w:rsidRPr="00F72ADA">
              <w:rPr>
                <w:sz w:val="23"/>
                <w:szCs w:val="23"/>
                <w:lang w:val="en-GB"/>
              </w:rPr>
              <w:t>1</w:t>
            </w:r>
            <w:r w:rsidR="006C4D24" w:rsidRPr="00F72ADA">
              <w:rPr>
                <w:sz w:val="23"/>
                <w:szCs w:val="23"/>
                <w:lang w:val="en-GB"/>
              </w:rPr>
              <w:t>8</w:t>
            </w:r>
            <w:r w:rsidR="00FF0624" w:rsidRPr="00F72ADA">
              <w:rPr>
                <w:sz w:val="23"/>
                <w:szCs w:val="23"/>
                <w:lang w:val="en-GB"/>
              </w:rPr>
              <w:t>.08.2021</w:t>
            </w:r>
          </w:p>
        </w:tc>
      </w:tr>
      <w:tr w:rsidR="004B1101" w:rsidRPr="00F72ADA" w14:paraId="7460C86B" w14:textId="77777777" w:rsidTr="004058D7">
        <w:trPr>
          <w:trHeight w:val="198"/>
        </w:trPr>
        <w:tc>
          <w:tcPr>
            <w:tcW w:w="4404" w:type="dxa"/>
          </w:tcPr>
          <w:p w14:paraId="167AC265" w14:textId="77777777" w:rsidR="0000480C" w:rsidRPr="00F72ADA" w:rsidRDefault="004C3328" w:rsidP="004058D7">
            <w:pPr>
              <w:jc w:val="center"/>
              <w:rPr>
                <w:sz w:val="23"/>
                <w:szCs w:val="23"/>
                <w:lang w:val="de-DE"/>
              </w:rPr>
            </w:pPr>
            <w:r w:rsidRPr="00F72ADA">
              <w:rPr>
                <w:sz w:val="23"/>
                <w:szCs w:val="23"/>
                <w:lang w:val="de-DE"/>
              </w:rPr>
              <w:t>3-5 Sremska St,</w:t>
            </w:r>
          </w:p>
          <w:p w14:paraId="7E80636C" w14:textId="77777777" w:rsidR="004B1101" w:rsidRPr="00F72ADA" w:rsidRDefault="00975FE6" w:rsidP="004058D7">
            <w:pPr>
              <w:jc w:val="center"/>
              <w:rPr>
                <w:sz w:val="23"/>
                <w:szCs w:val="23"/>
                <w:lang w:val="de-DE"/>
              </w:rPr>
            </w:pPr>
            <w:r w:rsidRPr="00F72ADA">
              <w:rPr>
                <w:sz w:val="23"/>
                <w:szCs w:val="23"/>
                <w:lang w:val="de-DE"/>
              </w:rPr>
              <w:t>B e l g r a d e</w:t>
            </w:r>
          </w:p>
          <w:p w14:paraId="1E73120F" w14:textId="77777777" w:rsidR="004B1101" w:rsidRPr="00F72ADA" w:rsidRDefault="004B1101" w:rsidP="004058D7">
            <w:pPr>
              <w:jc w:val="center"/>
              <w:rPr>
                <w:sz w:val="23"/>
                <w:szCs w:val="23"/>
                <w:lang w:val="de-DE"/>
              </w:rPr>
            </w:pPr>
          </w:p>
          <w:p w14:paraId="3F888B9C" w14:textId="77777777" w:rsidR="00AC1635" w:rsidRPr="00F72ADA" w:rsidRDefault="00AC1635" w:rsidP="004058D7">
            <w:pPr>
              <w:jc w:val="center"/>
              <w:rPr>
                <w:sz w:val="23"/>
                <w:szCs w:val="23"/>
                <w:lang w:val="de-DE"/>
              </w:rPr>
            </w:pPr>
          </w:p>
        </w:tc>
      </w:tr>
    </w:tbl>
    <w:p w14:paraId="65E5BFF6" w14:textId="77777777" w:rsidR="004058D7" w:rsidRPr="00F72ADA" w:rsidRDefault="004058D7" w:rsidP="004058D7">
      <w:pPr>
        <w:jc w:val="center"/>
        <w:rPr>
          <w:b/>
          <w:sz w:val="23"/>
          <w:szCs w:val="23"/>
          <w:lang w:val="de-DE"/>
        </w:rPr>
      </w:pPr>
    </w:p>
    <w:p w14:paraId="3A02310F" w14:textId="77777777" w:rsidR="004058D7" w:rsidRPr="00F72ADA" w:rsidRDefault="004058D7" w:rsidP="004058D7">
      <w:pPr>
        <w:jc w:val="center"/>
        <w:rPr>
          <w:b/>
          <w:sz w:val="23"/>
          <w:szCs w:val="23"/>
          <w:lang w:val="de-DE"/>
        </w:rPr>
      </w:pPr>
    </w:p>
    <w:p w14:paraId="0120ED7C" w14:textId="77777777" w:rsidR="004058D7" w:rsidRPr="00F72ADA" w:rsidRDefault="004058D7" w:rsidP="004058D7">
      <w:pPr>
        <w:jc w:val="center"/>
        <w:rPr>
          <w:b/>
          <w:sz w:val="23"/>
          <w:szCs w:val="23"/>
          <w:lang w:val="de-DE"/>
        </w:rPr>
      </w:pPr>
    </w:p>
    <w:p w14:paraId="67436A23" w14:textId="77777777" w:rsidR="004058D7" w:rsidRPr="00F72ADA" w:rsidRDefault="004058D7" w:rsidP="004058D7">
      <w:pPr>
        <w:jc w:val="center"/>
        <w:rPr>
          <w:b/>
          <w:sz w:val="23"/>
          <w:szCs w:val="23"/>
          <w:lang w:val="de-DE"/>
        </w:rPr>
      </w:pPr>
    </w:p>
    <w:p w14:paraId="204BB47C" w14:textId="77777777" w:rsidR="004058D7" w:rsidRPr="00F72ADA" w:rsidRDefault="004058D7" w:rsidP="004058D7">
      <w:pPr>
        <w:jc w:val="center"/>
        <w:rPr>
          <w:b/>
          <w:sz w:val="23"/>
          <w:szCs w:val="23"/>
          <w:lang w:val="de-DE"/>
        </w:rPr>
      </w:pPr>
    </w:p>
    <w:p w14:paraId="1357A9FA" w14:textId="77777777" w:rsidR="004058D7" w:rsidRPr="00F72ADA" w:rsidRDefault="004058D7" w:rsidP="004058D7">
      <w:pPr>
        <w:jc w:val="center"/>
        <w:rPr>
          <w:b/>
          <w:sz w:val="23"/>
          <w:szCs w:val="23"/>
          <w:lang w:val="de-DE"/>
        </w:rPr>
      </w:pPr>
    </w:p>
    <w:p w14:paraId="2520A6C0" w14:textId="77777777" w:rsidR="004058D7" w:rsidRPr="00F72ADA" w:rsidRDefault="004058D7" w:rsidP="004058D7">
      <w:pPr>
        <w:jc w:val="center"/>
        <w:rPr>
          <w:b/>
          <w:sz w:val="23"/>
          <w:szCs w:val="23"/>
          <w:lang w:val="de-DE"/>
        </w:rPr>
      </w:pPr>
    </w:p>
    <w:p w14:paraId="70A9DFCD" w14:textId="77777777" w:rsidR="004058D7" w:rsidRPr="00F72ADA" w:rsidRDefault="004058D7" w:rsidP="004058D7">
      <w:pPr>
        <w:jc w:val="center"/>
        <w:rPr>
          <w:b/>
          <w:sz w:val="23"/>
          <w:szCs w:val="23"/>
          <w:lang w:val="de-DE"/>
        </w:rPr>
      </w:pPr>
    </w:p>
    <w:p w14:paraId="3FFBA353" w14:textId="77777777" w:rsidR="004058D7" w:rsidRPr="00F72ADA" w:rsidRDefault="004058D7" w:rsidP="004058D7">
      <w:pPr>
        <w:jc w:val="center"/>
        <w:rPr>
          <w:b/>
          <w:sz w:val="23"/>
          <w:szCs w:val="23"/>
          <w:lang w:val="de-DE"/>
        </w:rPr>
      </w:pPr>
    </w:p>
    <w:p w14:paraId="33B577B4" w14:textId="77777777" w:rsidR="004058D7" w:rsidRPr="00F72ADA" w:rsidRDefault="004058D7" w:rsidP="004058D7">
      <w:pPr>
        <w:jc w:val="center"/>
        <w:rPr>
          <w:b/>
          <w:sz w:val="23"/>
          <w:szCs w:val="23"/>
          <w:lang w:val="de-DE"/>
        </w:rPr>
      </w:pPr>
    </w:p>
    <w:p w14:paraId="0A65B5FF" w14:textId="77777777" w:rsidR="009153C6" w:rsidRPr="00F72ADA" w:rsidRDefault="009153C6" w:rsidP="004058D7">
      <w:pPr>
        <w:jc w:val="center"/>
        <w:rPr>
          <w:b/>
          <w:sz w:val="23"/>
          <w:szCs w:val="23"/>
          <w:lang w:val="de-DE"/>
        </w:rPr>
      </w:pPr>
    </w:p>
    <w:p w14:paraId="3FF5AE87" w14:textId="77777777" w:rsidR="009A1274" w:rsidRPr="00F72ADA" w:rsidRDefault="0032531D" w:rsidP="004058D7">
      <w:pPr>
        <w:jc w:val="center"/>
        <w:rPr>
          <w:b/>
          <w:sz w:val="25"/>
          <w:szCs w:val="25"/>
          <w:lang w:val="en-GB"/>
        </w:rPr>
      </w:pPr>
      <w:r w:rsidRPr="00F72ADA">
        <w:rPr>
          <w:b/>
          <w:sz w:val="25"/>
          <w:szCs w:val="25"/>
          <w:lang w:val="en-GB"/>
        </w:rPr>
        <w:t xml:space="preserve">QUESTIONS AND ANSWERS </w:t>
      </w:r>
      <w:r w:rsidR="009A1274" w:rsidRPr="00F72ADA">
        <w:rPr>
          <w:b/>
          <w:sz w:val="25"/>
          <w:szCs w:val="25"/>
          <w:lang w:val="en-GB"/>
        </w:rPr>
        <w:t>No. 1</w:t>
      </w:r>
    </w:p>
    <w:p w14:paraId="4F353C0C" w14:textId="77777777" w:rsidR="00333A46" w:rsidRPr="00F72ADA" w:rsidRDefault="00333A46" w:rsidP="004058D7">
      <w:pPr>
        <w:jc w:val="center"/>
        <w:rPr>
          <w:rStyle w:val="Strong"/>
          <w:sz w:val="23"/>
          <w:szCs w:val="23"/>
          <w:lang w:val="en-GB"/>
        </w:rPr>
      </w:pPr>
    </w:p>
    <w:p w14:paraId="2DA2E909" w14:textId="77777777" w:rsidR="00FF0624" w:rsidRPr="00F72ADA" w:rsidRDefault="00FF0624" w:rsidP="004058D7">
      <w:pPr>
        <w:pStyle w:val="Blockquote"/>
        <w:ind w:left="540"/>
        <w:jc w:val="center"/>
        <w:rPr>
          <w:rFonts w:eastAsia="Times New Roman"/>
          <w:sz w:val="23"/>
          <w:szCs w:val="23"/>
          <w:lang w:val="en-GB"/>
        </w:rPr>
      </w:pPr>
      <w:r w:rsidRPr="00F72ADA">
        <w:rPr>
          <w:rFonts w:eastAsia="Times New Roman"/>
          <w:sz w:val="23"/>
          <w:szCs w:val="23"/>
          <w:lang w:val="en-GB"/>
        </w:rPr>
        <w:t>Support to IPARD Operating Structure (Managing Authority and IPARD Agency)</w:t>
      </w:r>
    </w:p>
    <w:p w14:paraId="47F839DE" w14:textId="545709C1" w:rsidR="00020F46" w:rsidRDefault="00FF0624" w:rsidP="004058D7">
      <w:pPr>
        <w:pStyle w:val="Blockquote"/>
        <w:ind w:left="540"/>
        <w:jc w:val="center"/>
        <w:rPr>
          <w:rFonts w:eastAsia="Times New Roman"/>
          <w:sz w:val="23"/>
          <w:szCs w:val="23"/>
          <w:lang w:val="en-GB"/>
        </w:rPr>
      </w:pPr>
      <w:r w:rsidRPr="00F72ADA">
        <w:rPr>
          <w:b/>
          <w:sz w:val="23"/>
          <w:szCs w:val="23"/>
          <w:lang w:val="en-GB"/>
        </w:rPr>
        <w:t xml:space="preserve"> </w:t>
      </w:r>
      <w:proofErr w:type="gramStart"/>
      <w:r w:rsidR="009A1274" w:rsidRPr="00F72ADA">
        <w:rPr>
          <w:b/>
          <w:sz w:val="23"/>
          <w:szCs w:val="23"/>
          <w:lang w:val="en-GB"/>
        </w:rPr>
        <w:t>Publication</w:t>
      </w:r>
      <w:r w:rsidR="005E3F2D" w:rsidRPr="00F72ADA">
        <w:rPr>
          <w:b/>
          <w:sz w:val="23"/>
          <w:szCs w:val="23"/>
          <w:lang w:val="en-GB"/>
        </w:rPr>
        <w:t xml:space="preserve"> </w:t>
      </w:r>
      <w:r w:rsidR="009A1274" w:rsidRPr="00F72ADA">
        <w:rPr>
          <w:b/>
          <w:sz w:val="23"/>
          <w:szCs w:val="23"/>
          <w:lang w:val="en-GB"/>
        </w:rPr>
        <w:t xml:space="preserve"> ref</w:t>
      </w:r>
      <w:proofErr w:type="gramEnd"/>
      <w:r w:rsidR="009A1274" w:rsidRPr="00F72ADA">
        <w:rPr>
          <w:b/>
          <w:sz w:val="23"/>
          <w:szCs w:val="23"/>
          <w:lang w:val="en-GB"/>
        </w:rPr>
        <w:t>.:</w:t>
      </w:r>
      <w:r w:rsidR="004E5527" w:rsidRPr="00F72ADA">
        <w:rPr>
          <w:b/>
          <w:sz w:val="23"/>
          <w:szCs w:val="23"/>
          <w:lang w:val="en-GB"/>
        </w:rPr>
        <w:t xml:space="preserve"> </w:t>
      </w:r>
      <w:r w:rsidRPr="00F72ADA">
        <w:rPr>
          <w:rFonts w:eastAsia="Times New Roman"/>
          <w:sz w:val="23"/>
          <w:szCs w:val="23"/>
          <w:lang w:val="en-GB"/>
        </w:rPr>
        <w:t>NEAR/BEG/2021/EA-RP/0023</w:t>
      </w:r>
    </w:p>
    <w:p w14:paraId="08311732" w14:textId="77777777" w:rsidR="00F72ADA" w:rsidRDefault="00F72ADA" w:rsidP="004058D7">
      <w:pPr>
        <w:pStyle w:val="Blockquote"/>
        <w:ind w:left="540"/>
        <w:jc w:val="center"/>
        <w:rPr>
          <w:b/>
          <w:sz w:val="23"/>
          <w:szCs w:val="23"/>
          <w:lang w:val="en-GB"/>
        </w:rPr>
      </w:pPr>
    </w:p>
    <w:p w14:paraId="4527CE2F" w14:textId="77777777" w:rsidR="00F72ADA" w:rsidRPr="00F72ADA" w:rsidRDefault="00F72ADA" w:rsidP="004058D7">
      <w:pPr>
        <w:pStyle w:val="Blockquote"/>
        <w:ind w:left="540"/>
        <w:jc w:val="center"/>
        <w:rPr>
          <w:b/>
          <w:sz w:val="23"/>
          <w:szCs w:val="23"/>
          <w:lang w:val="en-GB"/>
        </w:rPr>
      </w:pPr>
    </w:p>
    <w:tbl>
      <w:tblPr>
        <w:tblStyle w:val="TableGrid"/>
        <w:tblW w:w="10260" w:type="dxa"/>
        <w:tblInd w:w="-275" w:type="dxa"/>
        <w:tblLayout w:type="fixed"/>
        <w:tblLook w:val="04A0" w:firstRow="1" w:lastRow="0" w:firstColumn="1" w:lastColumn="0" w:noHBand="0" w:noVBand="1"/>
      </w:tblPr>
      <w:tblGrid>
        <w:gridCol w:w="540"/>
        <w:gridCol w:w="5400"/>
        <w:gridCol w:w="4320"/>
      </w:tblGrid>
      <w:tr w:rsidR="00020F46" w:rsidRPr="00F72ADA" w14:paraId="604B512B" w14:textId="77777777" w:rsidTr="009F56B3">
        <w:tc>
          <w:tcPr>
            <w:tcW w:w="540" w:type="dxa"/>
          </w:tcPr>
          <w:p w14:paraId="18D0CC26" w14:textId="77777777" w:rsidR="00020F46" w:rsidRPr="00F72ADA" w:rsidRDefault="00020F46"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t>No</w:t>
            </w:r>
          </w:p>
        </w:tc>
        <w:tc>
          <w:tcPr>
            <w:tcW w:w="5400" w:type="dxa"/>
          </w:tcPr>
          <w:p w14:paraId="1D3480C2" w14:textId="77777777" w:rsidR="00020F46" w:rsidRPr="00F72ADA" w:rsidRDefault="00020F46"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t>Question</w:t>
            </w:r>
          </w:p>
        </w:tc>
        <w:tc>
          <w:tcPr>
            <w:tcW w:w="4320" w:type="dxa"/>
          </w:tcPr>
          <w:p w14:paraId="023C59BD" w14:textId="77777777" w:rsidR="00020F46" w:rsidRPr="00F72ADA" w:rsidRDefault="00020F46"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t>Answer</w:t>
            </w:r>
          </w:p>
        </w:tc>
      </w:tr>
      <w:tr w:rsidR="00BD5BC7" w:rsidRPr="00F72ADA" w14:paraId="3C825D42" w14:textId="77777777" w:rsidTr="009F56B3">
        <w:trPr>
          <w:trHeight w:val="656"/>
        </w:trPr>
        <w:tc>
          <w:tcPr>
            <w:tcW w:w="540" w:type="dxa"/>
          </w:tcPr>
          <w:p w14:paraId="239702D3" w14:textId="0803A544" w:rsidR="00BD5BC7" w:rsidRPr="00F72ADA" w:rsidRDefault="00AC680C"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t>1.</w:t>
            </w:r>
          </w:p>
        </w:tc>
        <w:tc>
          <w:tcPr>
            <w:tcW w:w="5400" w:type="dxa"/>
          </w:tcPr>
          <w:p w14:paraId="5E538525" w14:textId="77777777" w:rsidR="00BD5BC7" w:rsidRDefault="00BD5BC7" w:rsidP="004058D7">
            <w:pPr>
              <w:pStyle w:val="NormalWeb"/>
              <w:rPr>
                <w:rFonts w:ascii="Times New Roman" w:hAnsi="Times New Roman" w:cs="Times New Roman"/>
                <w:sz w:val="23"/>
                <w:szCs w:val="23"/>
              </w:rPr>
            </w:pPr>
            <w:r w:rsidRPr="00F72ADA">
              <w:rPr>
                <w:rFonts w:ascii="Times New Roman" w:hAnsi="Times New Roman" w:cs="Times New Roman"/>
                <w:sz w:val="23"/>
                <w:szCs w:val="23"/>
              </w:rPr>
              <w:t xml:space="preserve">Dear Sirs, </w:t>
            </w:r>
            <w:proofErr w:type="spellStart"/>
            <w:r w:rsidRPr="00F72ADA">
              <w:rPr>
                <w:rFonts w:ascii="Times New Roman" w:hAnsi="Times New Roman" w:cs="Times New Roman"/>
                <w:sz w:val="23"/>
                <w:szCs w:val="23"/>
              </w:rPr>
              <w:t>pls</w:t>
            </w:r>
            <w:proofErr w:type="spellEnd"/>
            <w:r w:rsidRPr="00F72ADA">
              <w:rPr>
                <w:rFonts w:ascii="Times New Roman" w:hAnsi="Times New Roman" w:cs="Times New Roman"/>
                <w:sz w:val="23"/>
                <w:szCs w:val="23"/>
              </w:rPr>
              <w:t xml:space="preserve"> kindly send as well the invitation letter in order to check the selected references.</w:t>
            </w:r>
          </w:p>
          <w:p w14:paraId="73541E68" w14:textId="7D15FF76" w:rsidR="00F72ADA" w:rsidRPr="00F72ADA" w:rsidRDefault="00F72ADA" w:rsidP="004058D7">
            <w:pPr>
              <w:pStyle w:val="NormalWeb"/>
              <w:rPr>
                <w:rFonts w:ascii="Times New Roman" w:hAnsi="Times New Roman" w:cs="Times New Roman"/>
                <w:sz w:val="23"/>
                <w:szCs w:val="23"/>
              </w:rPr>
            </w:pPr>
          </w:p>
        </w:tc>
        <w:tc>
          <w:tcPr>
            <w:tcW w:w="4320" w:type="dxa"/>
          </w:tcPr>
          <w:p w14:paraId="7D1F801A" w14:textId="4B779250" w:rsidR="00BD5BC7" w:rsidRPr="00F72ADA" w:rsidRDefault="006C4D24" w:rsidP="004058D7">
            <w:pPr>
              <w:rPr>
                <w:rFonts w:ascii="Times New Roman" w:hAnsi="Times New Roman" w:cs="Times New Roman"/>
                <w:sz w:val="23"/>
                <w:szCs w:val="23"/>
              </w:rPr>
            </w:pPr>
            <w:r w:rsidRPr="00F72ADA">
              <w:rPr>
                <w:rFonts w:ascii="Times New Roman" w:hAnsi="Times New Roman" w:cs="Times New Roman"/>
                <w:sz w:val="23"/>
                <w:szCs w:val="23"/>
              </w:rPr>
              <w:t>Please note that the answer was provided already in TED on 16/07/2021.</w:t>
            </w:r>
            <w:bookmarkStart w:id="0" w:name="_GoBack"/>
            <w:bookmarkEnd w:id="0"/>
          </w:p>
        </w:tc>
      </w:tr>
      <w:tr w:rsidR="00020F46" w:rsidRPr="00F72ADA" w14:paraId="4AFD0661" w14:textId="77777777" w:rsidTr="009F56B3">
        <w:trPr>
          <w:trHeight w:val="2150"/>
        </w:trPr>
        <w:tc>
          <w:tcPr>
            <w:tcW w:w="540" w:type="dxa"/>
            <w:tcBorders>
              <w:bottom w:val="single" w:sz="4" w:space="0" w:color="auto"/>
            </w:tcBorders>
          </w:tcPr>
          <w:p w14:paraId="4475D097" w14:textId="77777777" w:rsidR="00AC1635" w:rsidRPr="00F72ADA" w:rsidRDefault="00AC1635" w:rsidP="004058D7">
            <w:pPr>
              <w:jc w:val="both"/>
              <w:rPr>
                <w:rFonts w:ascii="Times New Roman" w:hAnsi="Times New Roman" w:cs="Times New Roman"/>
                <w:sz w:val="23"/>
                <w:szCs w:val="23"/>
                <w:lang w:val="en-GB"/>
              </w:rPr>
            </w:pPr>
          </w:p>
          <w:p w14:paraId="76D005E5" w14:textId="1D9A2785" w:rsidR="00E040D6" w:rsidRPr="00F72ADA" w:rsidRDefault="006D635C"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t>2</w:t>
            </w:r>
            <w:r w:rsidR="00AC680C" w:rsidRPr="00F72ADA">
              <w:rPr>
                <w:rFonts w:ascii="Times New Roman" w:hAnsi="Times New Roman" w:cs="Times New Roman"/>
                <w:b/>
                <w:sz w:val="23"/>
                <w:szCs w:val="23"/>
                <w:lang w:val="en-GB"/>
              </w:rPr>
              <w:t>.</w:t>
            </w:r>
          </w:p>
        </w:tc>
        <w:tc>
          <w:tcPr>
            <w:tcW w:w="5400" w:type="dxa"/>
            <w:tcBorders>
              <w:bottom w:val="single" w:sz="4" w:space="0" w:color="auto"/>
            </w:tcBorders>
          </w:tcPr>
          <w:p w14:paraId="195207EA" w14:textId="08170B13" w:rsidR="00C72A8F" w:rsidRPr="00F72ADA" w:rsidRDefault="00FF0624" w:rsidP="00F72ADA">
            <w:pPr>
              <w:pStyle w:val="NormalWeb"/>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In the requireme</w:t>
            </w:r>
            <w:r w:rsidR="00355A9C" w:rsidRPr="00F72ADA">
              <w:rPr>
                <w:rFonts w:ascii="Times New Roman" w:hAnsi="Times New Roman" w:cs="Times New Roman"/>
                <w:sz w:val="23"/>
                <w:szCs w:val="23"/>
                <w:lang w:val="en-GB"/>
              </w:rPr>
              <w:t>nts for the team leader , it is e</w:t>
            </w:r>
            <w:r w:rsidRPr="00F72ADA">
              <w:rPr>
                <w:rFonts w:ascii="Times New Roman" w:hAnsi="Times New Roman" w:cs="Times New Roman"/>
                <w:sz w:val="23"/>
                <w:szCs w:val="23"/>
                <w:lang w:val="en-GB"/>
              </w:rPr>
              <w:t>stablished as</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requirement: “At least 8 of postgraduate professional experience in the</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field of EU member states rural development programmes”</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Could you</w:t>
            </w:r>
            <w:r w:rsid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clarify if in the case of EU MS which joined for instance in 2013 , only</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 xml:space="preserve">experiences since 2013 would be considered as eligible ? </w:t>
            </w:r>
            <w:proofErr w:type="gramStart"/>
            <w:r w:rsidRPr="00F72ADA">
              <w:rPr>
                <w:rFonts w:ascii="Times New Roman" w:hAnsi="Times New Roman" w:cs="Times New Roman"/>
                <w:sz w:val="23"/>
                <w:szCs w:val="23"/>
                <w:lang w:val="en-GB"/>
              </w:rPr>
              <w:t>or</w:t>
            </w:r>
            <w:proofErr w:type="gramEnd"/>
            <w:r w:rsidRPr="00F72ADA">
              <w:rPr>
                <w:rFonts w:ascii="Times New Roman" w:hAnsi="Times New Roman" w:cs="Times New Roman"/>
                <w:sz w:val="23"/>
                <w:szCs w:val="23"/>
                <w:lang w:val="en-GB"/>
              </w:rPr>
              <w:t xml:space="preserve"> experiences</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in pre-adhesion period would be also considered as eligible?</w:t>
            </w:r>
          </w:p>
          <w:p w14:paraId="7D60587A" w14:textId="233CC914" w:rsidR="00AC680C" w:rsidRPr="00F72ADA" w:rsidRDefault="00AC680C" w:rsidP="00AC680C">
            <w:pPr>
              <w:pStyle w:val="NormalWeb"/>
              <w:jc w:val="both"/>
              <w:rPr>
                <w:rFonts w:ascii="Times New Roman" w:hAnsi="Times New Roman" w:cs="Times New Roman"/>
                <w:sz w:val="23"/>
                <w:szCs w:val="23"/>
                <w:lang w:val="en-GB"/>
              </w:rPr>
            </w:pPr>
          </w:p>
        </w:tc>
        <w:tc>
          <w:tcPr>
            <w:tcW w:w="4320" w:type="dxa"/>
            <w:tcBorders>
              <w:bottom w:val="single" w:sz="4" w:space="0" w:color="auto"/>
            </w:tcBorders>
          </w:tcPr>
          <w:p w14:paraId="122FB345" w14:textId="53B023CB" w:rsidR="00F41E5C" w:rsidRPr="00F72ADA" w:rsidRDefault="006C4D24" w:rsidP="004058D7">
            <w:pPr>
              <w:jc w:val="both"/>
              <w:rPr>
                <w:rFonts w:ascii="Times New Roman" w:hAnsi="Times New Roman" w:cs="Times New Roman"/>
                <w:sz w:val="23"/>
                <w:szCs w:val="23"/>
                <w:lang w:val="en-GB"/>
              </w:rPr>
            </w:pPr>
            <w:r w:rsidRPr="00F72ADA">
              <w:rPr>
                <w:rFonts w:ascii="Times New Roman" w:hAnsi="Times New Roman" w:cs="Times New Roman"/>
                <w:sz w:val="23"/>
                <w:szCs w:val="23"/>
              </w:rPr>
              <w:t xml:space="preserve">Please refer to the provisions of the Terms of Reference. The </w:t>
            </w:r>
            <w:r w:rsidRPr="00F72ADA">
              <w:rPr>
                <w:rFonts w:ascii="Times New Roman" w:hAnsi="Times New Roman" w:cs="Times New Roman"/>
                <w:sz w:val="23"/>
                <w:szCs w:val="23"/>
                <w:lang w:val="en-GB"/>
              </w:rPr>
              <w:t xml:space="preserve">experiences in current EU MS before its accession date is eligible if in that period expert’s proven postgraduate professional experience was gained in the relevant field as stated in the </w:t>
            </w:r>
            <w:proofErr w:type="spellStart"/>
            <w:r w:rsidRPr="00F72ADA">
              <w:rPr>
                <w:rFonts w:ascii="Times New Roman" w:hAnsi="Times New Roman" w:cs="Times New Roman"/>
                <w:sz w:val="23"/>
                <w:szCs w:val="23"/>
                <w:lang w:val="en-GB"/>
              </w:rPr>
              <w:t>ToR</w:t>
            </w:r>
            <w:proofErr w:type="spellEnd"/>
            <w:r w:rsidRPr="00F72ADA">
              <w:rPr>
                <w:rFonts w:ascii="Times New Roman" w:hAnsi="Times New Roman" w:cs="Times New Roman"/>
                <w:sz w:val="23"/>
                <w:szCs w:val="23"/>
                <w:lang w:val="en-GB"/>
              </w:rPr>
              <w:t>.</w:t>
            </w:r>
          </w:p>
        </w:tc>
      </w:tr>
      <w:tr w:rsidR="006D3125" w:rsidRPr="00F72ADA" w14:paraId="7EE40B74" w14:textId="77777777" w:rsidTr="009F56B3">
        <w:trPr>
          <w:trHeight w:val="2960"/>
        </w:trPr>
        <w:tc>
          <w:tcPr>
            <w:tcW w:w="540" w:type="dxa"/>
            <w:tcBorders>
              <w:bottom w:val="single" w:sz="4" w:space="0" w:color="auto"/>
            </w:tcBorders>
          </w:tcPr>
          <w:p w14:paraId="368C47E9" w14:textId="52114559" w:rsidR="00355A9C" w:rsidRPr="00F72ADA" w:rsidRDefault="00355A9C" w:rsidP="004058D7">
            <w:pPr>
              <w:jc w:val="both"/>
              <w:rPr>
                <w:rFonts w:ascii="Times New Roman" w:hAnsi="Times New Roman" w:cs="Times New Roman"/>
                <w:sz w:val="23"/>
                <w:szCs w:val="23"/>
                <w:lang w:val="en-GB"/>
              </w:rPr>
            </w:pPr>
          </w:p>
          <w:p w14:paraId="4AFCFE48" w14:textId="7482D09F" w:rsidR="006D3125" w:rsidRPr="00F72ADA" w:rsidRDefault="006D635C"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t>3</w:t>
            </w:r>
            <w:r w:rsidR="00AC680C" w:rsidRPr="00F72ADA">
              <w:rPr>
                <w:rFonts w:ascii="Times New Roman" w:hAnsi="Times New Roman" w:cs="Times New Roman"/>
                <w:b/>
                <w:sz w:val="23"/>
                <w:szCs w:val="23"/>
                <w:lang w:val="en-GB"/>
              </w:rPr>
              <w:t>.</w:t>
            </w:r>
          </w:p>
        </w:tc>
        <w:tc>
          <w:tcPr>
            <w:tcW w:w="5400" w:type="dxa"/>
            <w:tcBorders>
              <w:bottom w:val="single" w:sz="4" w:space="0" w:color="auto"/>
            </w:tcBorders>
          </w:tcPr>
          <w:p w14:paraId="646BBF5F" w14:textId="77777777" w:rsidR="00AC680C" w:rsidRDefault="006D3125" w:rsidP="006C4D24">
            <w:pPr>
              <w:pStyle w:val="NormalWeb"/>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The TOR establishes as requirement for the Key Expert position 1 the</w:t>
            </w:r>
            <w:r w:rsidR="00355A9C" w:rsidRPr="00F72ADA">
              <w:rPr>
                <w:rFonts w:ascii="Times New Roman" w:hAnsi="Times New Roman" w:cs="Times New Roman"/>
                <w:sz w:val="23"/>
                <w:szCs w:val="23"/>
                <w:lang w:val="en-GB"/>
              </w:rPr>
              <w:t xml:space="preserve"> </w:t>
            </w:r>
            <w:proofErr w:type="gramStart"/>
            <w:r w:rsidRPr="00F72ADA">
              <w:rPr>
                <w:rFonts w:ascii="Times New Roman" w:hAnsi="Times New Roman" w:cs="Times New Roman"/>
                <w:sz w:val="23"/>
                <w:szCs w:val="23"/>
                <w:lang w:val="en-GB"/>
              </w:rPr>
              <w:t>following :</w:t>
            </w:r>
            <w:proofErr w:type="gramEnd"/>
            <w:r w:rsidRPr="00F72ADA">
              <w:rPr>
                <w:rFonts w:ascii="Times New Roman" w:hAnsi="Times New Roman" w:cs="Times New Roman"/>
                <w:sz w:val="23"/>
                <w:szCs w:val="23"/>
                <w:lang w:val="en-GB"/>
              </w:rPr>
              <w:t>At least 8 years of postgraduate professional experience in</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the field of EU member states rural development programmes” Could you</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please clarify if in the case of an experts working on EU member states</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rural development programmes which joined the EU, for instance in 2013,</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the experience of the expert prior to 2013 would be considered to meet</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 xml:space="preserve">this specific requirement? </w:t>
            </w:r>
            <w:proofErr w:type="spellStart"/>
            <w:r w:rsidRPr="00F72ADA">
              <w:rPr>
                <w:rFonts w:ascii="Times New Roman" w:hAnsi="Times New Roman" w:cs="Times New Roman"/>
                <w:sz w:val="23"/>
                <w:szCs w:val="23"/>
                <w:lang w:val="en-GB"/>
              </w:rPr>
              <w:t xml:space="preserve">Like </w:t>
            </w:r>
            <w:proofErr w:type="gramStart"/>
            <w:r w:rsidRPr="00F72ADA">
              <w:rPr>
                <w:rFonts w:ascii="Times New Roman" w:hAnsi="Times New Roman" w:cs="Times New Roman"/>
                <w:sz w:val="23"/>
                <w:szCs w:val="23"/>
                <w:lang w:val="en-GB"/>
              </w:rPr>
              <w:t>wise</w:t>
            </w:r>
            <w:proofErr w:type="spellEnd"/>
            <w:r w:rsidRPr="00F72ADA">
              <w:rPr>
                <w:rFonts w:ascii="Times New Roman" w:hAnsi="Times New Roman" w:cs="Times New Roman"/>
                <w:sz w:val="23"/>
                <w:szCs w:val="23"/>
                <w:lang w:val="en-GB"/>
              </w:rPr>
              <w:t xml:space="preserve"> ,</w:t>
            </w:r>
            <w:proofErr w:type="gramEnd"/>
            <w:r w:rsidRPr="00F72ADA">
              <w:rPr>
                <w:rFonts w:ascii="Times New Roman" w:hAnsi="Times New Roman" w:cs="Times New Roman"/>
                <w:sz w:val="23"/>
                <w:szCs w:val="23"/>
                <w:lang w:val="en-GB"/>
              </w:rPr>
              <w:t xml:space="preserve"> for Key expert 2 it is required:</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“At least 8 of postgraduate professional experience in the field of EU</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member states rural development programmes “. Would experience in</w:t>
            </w:r>
            <w:r w:rsidR="00355A9C"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current EU MS but before accession date be considered as eligible?</w:t>
            </w:r>
          </w:p>
          <w:p w14:paraId="66B3DD68" w14:textId="15F5F441" w:rsidR="00F72ADA" w:rsidRPr="00F72ADA" w:rsidRDefault="00F72ADA" w:rsidP="006C4D24">
            <w:pPr>
              <w:pStyle w:val="NormalWeb"/>
              <w:jc w:val="both"/>
              <w:rPr>
                <w:rFonts w:ascii="Times New Roman" w:hAnsi="Times New Roman" w:cs="Times New Roman"/>
                <w:sz w:val="23"/>
                <w:szCs w:val="23"/>
                <w:lang w:val="en-GB"/>
              </w:rPr>
            </w:pPr>
          </w:p>
        </w:tc>
        <w:tc>
          <w:tcPr>
            <w:tcW w:w="4320" w:type="dxa"/>
            <w:tcBorders>
              <w:bottom w:val="single" w:sz="4" w:space="0" w:color="auto"/>
            </w:tcBorders>
          </w:tcPr>
          <w:p w14:paraId="1D41C30A" w14:textId="73DD904E" w:rsidR="006D3125" w:rsidRPr="00F72ADA" w:rsidRDefault="000B70E0" w:rsidP="006C4D24">
            <w:pPr>
              <w:pStyle w:val="PlainText"/>
              <w:jc w:val="both"/>
              <w:rPr>
                <w:rFonts w:ascii="Times New Roman" w:hAnsi="Times New Roman" w:cs="Times New Roman"/>
                <w:sz w:val="23"/>
                <w:szCs w:val="23"/>
                <w:lang w:val="en-GB"/>
              </w:rPr>
            </w:pPr>
            <w:r w:rsidRPr="00F72ADA">
              <w:rPr>
                <w:rFonts w:ascii="Times New Roman" w:hAnsi="Times New Roman" w:cs="Times New Roman"/>
                <w:sz w:val="23"/>
                <w:szCs w:val="23"/>
              </w:rPr>
              <w:t xml:space="preserve">Please </w:t>
            </w:r>
            <w:r w:rsidR="006C4D24" w:rsidRPr="00F72ADA">
              <w:rPr>
                <w:rFonts w:ascii="Times New Roman" w:hAnsi="Times New Roman" w:cs="Times New Roman"/>
                <w:sz w:val="23"/>
                <w:szCs w:val="23"/>
              </w:rPr>
              <w:t>see the answer to the question no.2.</w:t>
            </w:r>
            <w:r w:rsidR="00A25737" w:rsidRPr="00F72ADA">
              <w:rPr>
                <w:rFonts w:ascii="Times New Roman" w:hAnsi="Times New Roman" w:cs="Times New Roman"/>
                <w:sz w:val="23"/>
                <w:szCs w:val="23"/>
                <w:lang w:val="en-GB"/>
              </w:rPr>
              <w:t xml:space="preserve"> </w:t>
            </w:r>
          </w:p>
        </w:tc>
      </w:tr>
      <w:tr w:rsidR="006D635C" w:rsidRPr="00F72ADA" w14:paraId="6595D769" w14:textId="77777777" w:rsidTr="009F56B3">
        <w:trPr>
          <w:trHeight w:val="2960"/>
        </w:trPr>
        <w:tc>
          <w:tcPr>
            <w:tcW w:w="540" w:type="dxa"/>
            <w:tcBorders>
              <w:bottom w:val="single" w:sz="4" w:space="0" w:color="auto"/>
            </w:tcBorders>
          </w:tcPr>
          <w:p w14:paraId="2139DB1D" w14:textId="598A57D3" w:rsidR="006D635C" w:rsidRPr="00F72ADA" w:rsidRDefault="006D635C" w:rsidP="006D635C">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lastRenderedPageBreak/>
              <w:t>4.</w:t>
            </w:r>
          </w:p>
        </w:tc>
        <w:tc>
          <w:tcPr>
            <w:tcW w:w="5400" w:type="dxa"/>
          </w:tcPr>
          <w:p w14:paraId="154D17F1" w14:textId="77777777" w:rsidR="006D635C" w:rsidRPr="00F72ADA" w:rsidRDefault="006D635C" w:rsidP="006D635C">
            <w:pPr>
              <w:pStyle w:val="NormalWeb"/>
              <w:jc w:val="both"/>
              <w:rPr>
                <w:rFonts w:ascii="Times New Roman" w:hAnsi="Times New Roman" w:cs="Times New Roman"/>
                <w:sz w:val="23"/>
                <w:szCs w:val="23"/>
              </w:rPr>
            </w:pPr>
            <w:r w:rsidRPr="00F72ADA">
              <w:rPr>
                <w:rFonts w:ascii="Times New Roman" w:hAnsi="Times New Roman" w:cs="Times New Roman"/>
                <w:sz w:val="23"/>
                <w:szCs w:val="23"/>
              </w:rPr>
              <w:t>Due to the effects of Covid-19, we have recently experienced various tender processes were carried out online. For this type of tenders, we have applied different preparations steps and work plan from the tenders that we submitted as a hard copy. For these reasons and in order us to organize our sources, work plan and provide high quality of service, we kindly want to ask you for the whether there will be possibility of online submission for the "NEAR/BEG/2021/EA-RP/0023 - Support to IPARD Operating Structure (Managing Authority and IPARD Agency)" project.</w:t>
            </w:r>
          </w:p>
          <w:p w14:paraId="4397B0D1" w14:textId="7B19DE22" w:rsidR="006C4D24" w:rsidRPr="00F72ADA" w:rsidRDefault="006C4D24" w:rsidP="006D635C">
            <w:pPr>
              <w:pStyle w:val="NormalWeb"/>
              <w:jc w:val="both"/>
              <w:rPr>
                <w:sz w:val="23"/>
                <w:szCs w:val="23"/>
                <w:lang w:val="en-GB"/>
              </w:rPr>
            </w:pPr>
          </w:p>
        </w:tc>
        <w:tc>
          <w:tcPr>
            <w:tcW w:w="4320" w:type="dxa"/>
          </w:tcPr>
          <w:p w14:paraId="2D670E21" w14:textId="76C71327" w:rsidR="006D635C" w:rsidRPr="00F72ADA" w:rsidRDefault="006D635C" w:rsidP="00B60CF2">
            <w:pPr>
              <w:jc w:val="both"/>
              <w:rPr>
                <w:rFonts w:ascii="Times New Roman" w:hAnsi="Times New Roman" w:cs="Times New Roman"/>
                <w:sz w:val="23"/>
                <w:szCs w:val="23"/>
              </w:rPr>
            </w:pPr>
            <w:r w:rsidRPr="00F72ADA">
              <w:rPr>
                <w:rFonts w:ascii="Times New Roman" w:eastAsia="Times New Roman" w:hAnsi="Times New Roman"/>
                <w:snapToGrid w:val="0"/>
                <w:sz w:val="23"/>
                <w:szCs w:val="23"/>
              </w:rPr>
              <w:t xml:space="preserve">Please note that the application must be submitted </w:t>
            </w:r>
            <w:r w:rsidRPr="00F72ADA">
              <w:rPr>
                <w:rFonts w:ascii="Times New Roman" w:eastAsia="Times New Roman" w:hAnsi="Times New Roman"/>
                <w:b/>
                <w:snapToGrid w:val="0"/>
                <w:sz w:val="23"/>
                <w:szCs w:val="23"/>
              </w:rPr>
              <w:t>in paper form</w:t>
            </w:r>
            <w:r w:rsidRPr="00F72ADA">
              <w:rPr>
                <w:rFonts w:ascii="Times New Roman" w:eastAsia="Times New Roman" w:hAnsi="Times New Roman"/>
                <w:snapToGrid w:val="0"/>
                <w:sz w:val="23"/>
                <w:szCs w:val="23"/>
              </w:rPr>
              <w:t xml:space="preserve"> </w:t>
            </w:r>
            <w:r w:rsidR="00B60CF2" w:rsidRPr="00F72ADA">
              <w:rPr>
                <w:rFonts w:ascii="Times New Roman" w:eastAsia="Times New Roman" w:hAnsi="Times New Roman"/>
                <w:snapToGrid w:val="0"/>
                <w:sz w:val="23"/>
                <w:szCs w:val="23"/>
              </w:rPr>
              <w:t>in accordance with Article 10 of the Instruction for tenderers</w:t>
            </w:r>
            <w:r w:rsidR="006C4D24" w:rsidRPr="00F72ADA">
              <w:rPr>
                <w:rFonts w:ascii="Times New Roman" w:hAnsi="Times New Roman" w:cs="Times New Roman"/>
                <w:snapToGrid w:val="0"/>
                <w:sz w:val="23"/>
                <w:szCs w:val="23"/>
              </w:rPr>
              <w:t>.</w:t>
            </w:r>
            <w:r w:rsidR="006C4D24" w:rsidRPr="00F72ADA">
              <w:rPr>
                <w:rFonts w:ascii="Times New Roman" w:hAnsi="Times New Roman" w:cs="Times New Roman"/>
                <w:sz w:val="23"/>
                <w:szCs w:val="23"/>
              </w:rPr>
              <w:t xml:space="preserve"> </w:t>
            </w:r>
          </w:p>
        </w:tc>
      </w:tr>
      <w:tr w:rsidR="00F34849" w:rsidRPr="00F72ADA" w14:paraId="541D06CB" w14:textId="77777777" w:rsidTr="009F56B3">
        <w:trPr>
          <w:trHeight w:val="800"/>
        </w:trPr>
        <w:tc>
          <w:tcPr>
            <w:tcW w:w="540" w:type="dxa"/>
          </w:tcPr>
          <w:p w14:paraId="4CC15FAD" w14:textId="77777777" w:rsidR="00F34849" w:rsidRPr="00F72ADA" w:rsidRDefault="00F34849" w:rsidP="004058D7">
            <w:pPr>
              <w:jc w:val="both"/>
              <w:rPr>
                <w:rFonts w:ascii="Times New Roman" w:hAnsi="Times New Roman" w:cs="Times New Roman"/>
                <w:sz w:val="23"/>
                <w:szCs w:val="23"/>
                <w:lang w:val="en-GB"/>
              </w:rPr>
            </w:pPr>
          </w:p>
          <w:p w14:paraId="31803CF3" w14:textId="358CA8C7" w:rsidR="00F34849" w:rsidRPr="00F72ADA" w:rsidRDefault="00AC680C"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t>5.</w:t>
            </w:r>
          </w:p>
        </w:tc>
        <w:tc>
          <w:tcPr>
            <w:tcW w:w="5400" w:type="dxa"/>
          </w:tcPr>
          <w:p w14:paraId="1B61E2F9" w14:textId="44E12BBE" w:rsidR="009153C6" w:rsidRPr="00F72ADA" w:rsidRDefault="00355A9C" w:rsidP="00F72ADA">
            <w:pPr>
              <w:pStyle w:val="NormalWeb"/>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 xml:space="preserve">Notwithstanding that necessary assumptions /preconditions for the activities 2.5.4 and 2.5.5 are that all the inputs (documents, calculations, translations, </w:t>
            </w:r>
            <w:r w:rsidR="00F72ADA">
              <w:rPr>
                <w:rFonts w:ascii="Times New Roman" w:hAnsi="Times New Roman" w:cs="Times New Roman"/>
                <w:sz w:val="23"/>
                <w:szCs w:val="23"/>
                <w:lang w:val="en-GB"/>
              </w:rPr>
              <w:t>c</w:t>
            </w:r>
            <w:r w:rsidRPr="00F72ADA">
              <w:rPr>
                <w:rFonts w:ascii="Times New Roman" w:hAnsi="Times New Roman" w:cs="Times New Roman"/>
                <w:sz w:val="23"/>
                <w:szCs w:val="23"/>
                <w:lang w:val="en-GB"/>
              </w:rPr>
              <w:t xml:space="preserve">hecklists, UAT scenarios etc.) are provided to the Contractor, not later than 3 months before the deadline set, in order to better draft our proposal and evaluate the efforts, could you please provide us with the current Technical Specifications and Architectural SW Stack (e.g. technologies used, programming languages, database, etc...) of: - the current existing IT system related to the computerized processing of applications for IPARD measures (Result 2.3); - the current Internal Control System including operations, procedures and controls (Result 2.3); - the current existing RD IT solution (Result 2.5). </w:t>
            </w:r>
            <w:r w:rsidR="00F72ADA">
              <w:rPr>
                <w:rFonts w:ascii="Times New Roman" w:hAnsi="Times New Roman" w:cs="Times New Roman"/>
                <w:sz w:val="23"/>
                <w:szCs w:val="23"/>
                <w:lang w:val="en-GB"/>
              </w:rPr>
              <w:t xml:space="preserve">Notwithstanding that necessary </w:t>
            </w:r>
            <w:r w:rsidRPr="00F72ADA">
              <w:rPr>
                <w:rFonts w:ascii="Times New Roman" w:hAnsi="Times New Roman" w:cs="Times New Roman"/>
                <w:sz w:val="23"/>
                <w:szCs w:val="23"/>
                <w:lang w:val="en-GB"/>
              </w:rPr>
              <w:t>assumptions</w:t>
            </w:r>
            <w:r w:rsid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/preconditions</w:t>
            </w:r>
            <w:r w:rsidR="00F72ADA">
              <w:rPr>
                <w:rFonts w:ascii="Times New Roman" w:hAnsi="Times New Roman" w:cs="Times New Roman"/>
                <w:sz w:val="23"/>
                <w:szCs w:val="23"/>
                <w:lang w:val="en-GB"/>
              </w:rPr>
              <w:t xml:space="preserve"> for </w:t>
            </w:r>
            <w:r w:rsidRPr="00F72ADA">
              <w:rPr>
                <w:rFonts w:ascii="Times New Roman" w:hAnsi="Times New Roman" w:cs="Times New Roman"/>
                <w:sz w:val="23"/>
                <w:szCs w:val="23"/>
                <w:lang w:val="en-GB"/>
              </w:rPr>
              <w:t>the</w:t>
            </w:r>
            <w:r w:rsid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activities 2.5.4 and 2.5.5 are that all the inputs (documents, calculations, translations, checklists, UAT scenarios etc.) are provided to the Contractor, not later than 3 months before the deadline set, in</w:t>
            </w:r>
            <w:r w:rsid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order to better draft our proposal and evaluate the efforts, could you please provide us with the current version of the Technical specification for RD IT solution regarding: - the Reporting module (Result 2.5); - HR management (Result 2.5); - Risk management and Irregularity (Result 2.5).</w:t>
            </w:r>
          </w:p>
          <w:p w14:paraId="18F4FEDA" w14:textId="5C6C52D9" w:rsidR="006C4D24" w:rsidRPr="00F72ADA" w:rsidRDefault="006C4D24" w:rsidP="00F72ADA">
            <w:pPr>
              <w:pStyle w:val="NormalWeb"/>
              <w:jc w:val="both"/>
              <w:rPr>
                <w:rFonts w:ascii="Times New Roman" w:hAnsi="Times New Roman" w:cs="Times New Roman"/>
                <w:sz w:val="23"/>
                <w:szCs w:val="23"/>
                <w:lang w:val="en-GB"/>
              </w:rPr>
            </w:pPr>
          </w:p>
        </w:tc>
        <w:tc>
          <w:tcPr>
            <w:tcW w:w="4320" w:type="dxa"/>
          </w:tcPr>
          <w:p w14:paraId="2FD14E75" w14:textId="16CE4302" w:rsidR="00EC1A6A" w:rsidRPr="00F72ADA" w:rsidRDefault="000B70E0" w:rsidP="004058D7">
            <w:pPr>
              <w:pStyle w:val="PlainText"/>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Please bear in mind that the t</w:t>
            </w:r>
            <w:r w:rsidR="00EC1A6A" w:rsidRPr="00F72ADA">
              <w:rPr>
                <w:rFonts w:ascii="Times New Roman" w:hAnsi="Times New Roman" w:cs="Times New Roman"/>
                <w:sz w:val="23"/>
                <w:szCs w:val="23"/>
                <w:lang w:val="en-GB"/>
              </w:rPr>
              <w:t>echnical specification for RD IT solution cannot be provided to anyone except the contractor. This is confidential documentation of the Directorate for Agrarian Payments.</w:t>
            </w:r>
          </w:p>
          <w:p w14:paraId="75ED3F38" w14:textId="7654FA59" w:rsidR="00EC1A6A" w:rsidRPr="00F72ADA" w:rsidRDefault="00E02EA3" w:rsidP="004058D7">
            <w:pPr>
              <w:pStyle w:val="PlainText"/>
              <w:jc w:val="both"/>
              <w:rPr>
                <w:rFonts w:ascii="Times New Roman" w:hAnsi="Times New Roman" w:cs="Times New Roman"/>
                <w:sz w:val="23"/>
                <w:szCs w:val="23"/>
              </w:rPr>
            </w:pPr>
            <w:r w:rsidRPr="00F72ADA">
              <w:rPr>
                <w:rFonts w:ascii="Times New Roman" w:hAnsi="Times New Roman" w:cs="Times New Roman"/>
                <w:sz w:val="23"/>
                <w:szCs w:val="23"/>
                <w:lang w:val="en-GB"/>
              </w:rPr>
              <w:t xml:space="preserve">As it is already stated in the </w:t>
            </w:r>
            <w:proofErr w:type="spellStart"/>
            <w:r w:rsidRPr="00F72ADA">
              <w:rPr>
                <w:rFonts w:ascii="Times New Roman" w:hAnsi="Times New Roman" w:cs="Times New Roman"/>
                <w:sz w:val="23"/>
                <w:szCs w:val="23"/>
                <w:lang w:val="en-GB"/>
              </w:rPr>
              <w:t>ToR</w:t>
            </w:r>
            <w:proofErr w:type="spellEnd"/>
            <w:r w:rsidRPr="00F72ADA">
              <w:rPr>
                <w:rFonts w:ascii="Times New Roman" w:hAnsi="Times New Roman" w:cs="Times New Roman"/>
                <w:sz w:val="23"/>
                <w:szCs w:val="23"/>
                <w:lang w:val="en-GB"/>
              </w:rPr>
              <w:t xml:space="preserve">, all relevant </w:t>
            </w:r>
            <w:r w:rsidR="00EC1A6A" w:rsidRPr="00F72ADA">
              <w:rPr>
                <w:rFonts w:ascii="Times New Roman" w:hAnsi="Times New Roman" w:cs="Times New Roman"/>
                <w:sz w:val="23"/>
                <w:szCs w:val="23"/>
              </w:rPr>
              <w:t xml:space="preserve">inputs (documents, calculations, translations, checklists, UAT scenarios etc.) </w:t>
            </w:r>
            <w:r w:rsidRPr="00F72ADA">
              <w:rPr>
                <w:rFonts w:ascii="Times New Roman" w:hAnsi="Times New Roman" w:cs="Times New Roman"/>
                <w:sz w:val="23"/>
                <w:szCs w:val="23"/>
              </w:rPr>
              <w:t>will be</w:t>
            </w:r>
            <w:r w:rsidR="00EC1A6A" w:rsidRPr="00F72ADA">
              <w:rPr>
                <w:rFonts w:ascii="Times New Roman" w:hAnsi="Times New Roman" w:cs="Times New Roman"/>
                <w:sz w:val="23"/>
                <w:szCs w:val="23"/>
              </w:rPr>
              <w:t xml:space="preserve"> provided to the Contracto</w:t>
            </w:r>
            <w:r w:rsidRPr="00F72ADA">
              <w:rPr>
                <w:rFonts w:ascii="Times New Roman" w:hAnsi="Times New Roman" w:cs="Times New Roman"/>
                <w:sz w:val="23"/>
                <w:szCs w:val="23"/>
              </w:rPr>
              <w:t>r</w:t>
            </w:r>
            <w:r w:rsidR="00EC1A6A" w:rsidRPr="00F72ADA">
              <w:rPr>
                <w:rFonts w:ascii="Times New Roman" w:hAnsi="Times New Roman" w:cs="Times New Roman"/>
                <w:sz w:val="23"/>
                <w:szCs w:val="23"/>
              </w:rPr>
              <w:t xml:space="preserve"> not later than 3 months before the deadline set for the result of the output to be delivered.</w:t>
            </w:r>
          </w:p>
          <w:p w14:paraId="0BD1F722" w14:textId="77777777" w:rsidR="004058D7" w:rsidRPr="00F72ADA" w:rsidRDefault="004058D7" w:rsidP="004058D7">
            <w:pPr>
              <w:pStyle w:val="PlainText"/>
              <w:jc w:val="both"/>
              <w:rPr>
                <w:rFonts w:ascii="Times New Roman" w:hAnsi="Times New Roman" w:cs="Times New Roman"/>
                <w:sz w:val="23"/>
                <w:szCs w:val="23"/>
              </w:rPr>
            </w:pPr>
          </w:p>
          <w:p w14:paraId="0E65027C" w14:textId="5BCE125A" w:rsidR="00A25737" w:rsidRPr="00F72ADA" w:rsidRDefault="00A25737" w:rsidP="004058D7">
            <w:pPr>
              <w:pStyle w:val="PlainText"/>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 xml:space="preserve"> </w:t>
            </w:r>
          </w:p>
        </w:tc>
      </w:tr>
      <w:tr w:rsidR="00FF0624" w:rsidRPr="00F72ADA" w14:paraId="31C52254" w14:textId="77777777" w:rsidTr="009F56B3">
        <w:trPr>
          <w:trHeight w:val="800"/>
        </w:trPr>
        <w:tc>
          <w:tcPr>
            <w:tcW w:w="540" w:type="dxa"/>
          </w:tcPr>
          <w:p w14:paraId="69051487" w14:textId="08D1E234" w:rsidR="00FF0624" w:rsidRPr="00F72ADA" w:rsidRDefault="00AC680C"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t>6.</w:t>
            </w:r>
          </w:p>
        </w:tc>
        <w:tc>
          <w:tcPr>
            <w:tcW w:w="5400" w:type="dxa"/>
          </w:tcPr>
          <w:p w14:paraId="2EED5057" w14:textId="77777777" w:rsidR="00F72ADA" w:rsidRDefault="00355A9C" w:rsidP="006C4D24">
            <w:pPr>
              <w:pStyle w:val="NormalWeb"/>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In the requirement</w:t>
            </w:r>
            <w:r w:rsidR="004058D7" w:rsidRPr="00F72ADA">
              <w:rPr>
                <w:rFonts w:ascii="Times New Roman" w:hAnsi="Times New Roman" w:cs="Times New Roman"/>
                <w:sz w:val="23"/>
                <w:szCs w:val="23"/>
                <w:lang w:val="en-GB"/>
              </w:rPr>
              <w:t>s for the key expert 2 position</w:t>
            </w:r>
            <w:r w:rsidRPr="00F72ADA">
              <w:rPr>
                <w:rFonts w:ascii="Times New Roman" w:hAnsi="Times New Roman" w:cs="Times New Roman"/>
                <w:sz w:val="23"/>
                <w:szCs w:val="23"/>
                <w:lang w:val="en-GB"/>
              </w:rPr>
              <w:t>, it is established as a requirement " At least 3 years of postgraduate professional experience in the EU member states Paying Agency, of which at least 1</w:t>
            </w:r>
            <w:r w:rsidRPr="00F72ADA">
              <w:rPr>
                <w:rFonts w:ascii="Times New Roman" w:hAnsi="Times New Roman" w:cs="Times New Roman"/>
                <w:sz w:val="23"/>
                <w:szCs w:val="23"/>
                <w:lang w:val="en-GB"/>
              </w:rPr>
              <w:br/>
              <w:t>year in an accredited Paying Agency, on the posts that includes responsibility for implementation of Rural Development measures financed from EU funds; Could you please clarify if working experience as a</w:t>
            </w:r>
            <w:r w:rsidRPr="00F72ADA">
              <w:rPr>
                <w:rFonts w:ascii="Times New Roman" w:hAnsi="Times New Roman" w:cs="Times New Roman"/>
                <w:sz w:val="23"/>
                <w:szCs w:val="23"/>
                <w:lang w:val="en-GB"/>
              </w:rPr>
              <w:br/>
              <w:t>consultant for such a Paying Agency would be considered as compliant (</w:t>
            </w:r>
            <w:proofErr w:type="spellStart"/>
            <w:r w:rsidRPr="00F72ADA">
              <w:rPr>
                <w:rFonts w:ascii="Times New Roman" w:hAnsi="Times New Roman" w:cs="Times New Roman"/>
                <w:sz w:val="23"/>
                <w:szCs w:val="23"/>
                <w:lang w:val="en-GB"/>
              </w:rPr>
              <w:t>i.e</w:t>
            </w:r>
            <w:proofErr w:type="spellEnd"/>
            <w:r w:rsidRPr="00F72ADA">
              <w:rPr>
                <w:rFonts w:ascii="Times New Roman" w:hAnsi="Times New Roman" w:cs="Times New Roman"/>
                <w:sz w:val="23"/>
                <w:szCs w:val="23"/>
                <w:lang w:val="en-GB"/>
              </w:rPr>
              <w:t xml:space="preserve"> the expert is not contracted directly by the paying agency but works providing services for Paying agency).</w:t>
            </w:r>
          </w:p>
          <w:p w14:paraId="02F1627A" w14:textId="605831C7" w:rsidR="00F72ADA" w:rsidRPr="00F72ADA" w:rsidRDefault="00F72ADA" w:rsidP="006C4D24">
            <w:pPr>
              <w:pStyle w:val="NormalWeb"/>
              <w:jc w:val="both"/>
              <w:rPr>
                <w:rFonts w:ascii="Times New Roman" w:hAnsi="Times New Roman" w:cs="Times New Roman"/>
                <w:sz w:val="23"/>
                <w:szCs w:val="23"/>
                <w:lang w:val="en-GB"/>
              </w:rPr>
            </w:pPr>
          </w:p>
        </w:tc>
        <w:tc>
          <w:tcPr>
            <w:tcW w:w="4320" w:type="dxa"/>
          </w:tcPr>
          <w:p w14:paraId="015B9739" w14:textId="54EB2A5C" w:rsidR="00FF0624" w:rsidRPr="00F72ADA" w:rsidRDefault="003C1657" w:rsidP="00A61D9F">
            <w:pPr>
              <w:pStyle w:val="PlainText"/>
              <w:jc w:val="both"/>
              <w:rPr>
                <w:rFonts w:ascii="Times New Roman" w:hAnsi="Times New Roman" w:cs="Times New Roman"/>
                <w:sz w:val="23"/>
                <w:szCs w:val="23"/>
                <w:lang w:val="en-GB"/>
              </w:rPr>
            </w:pPr>
            <w:r w:rsidRPr="00F72ADA">
              <w:rPr>
                <w:rFonts w:ascii="Times New Roman" w:hAnsi="Times New Roman" w:cs="Times New Roman"/>
                <w:sz w:val="23"/>
                <w:szCs w:val="23"/>
              </w:rPr>
              <w:t>Please note that no</w:t>
            </w:r>
            <w:r w:rsidR="006C4D24" w:rsidRPr="00F72ADA">
              <w:rPr>
                <w:rFonts w:ascii="Times New Roman" w:hAnsi="Times New Roman" w:cs="Times New Roman"/>
                <w:sz w:val="23"/>
                <w:szCs w:val="23"/>
              </w:rPr>
              <w:t xml:space="preserve"> prior opinion on the assessment of the tender can be given by the </w:t>
            </w:r>
            <w:r w:rsidR="00A61D9F" w:rsidRPr="00F72ADA">
              <w:rPr>
                <w:rFonts w:ascii="Times New Roman" w:hAnsi="Times New Roman" w:cs="Times New Roman"/>
                <w:sz w:val="23"/>
                <w:szCs w:val="23"/>
              </w:rPr>
              <w:t>C</w:t>
            </w:r>
            <w:r w:rsidR="006C4D24" w:rsidRPr="00F72ADA">
              <w:rPr>
                <w:rFonts w:ascii="Times New Roman" w:hAnsi="Times New Roman" w:cs="Times New Roman"/>
                <w:sz w:val="23"/>
                <w:szCs w:val="23"/>
              </w:rPr>
              <w:t xml:space="preserve">ontracting </w:t>
            </w:r>
            <w:r w:rsidR="00A61D9F" w:rsidRPr="00F72ADA">
              <w:rPr>
                <w:rFonts w:ascii="Times New Roman" w:hAnsi="Times New Roman" w:cs="Times New Roman"/>
                <w:sz w:val="23"/>
                <w:szCs w:val="23"/>
              </w:rPr>
              <w:t>A</w:t>
            </w:r>
            <w:r w:rsidR="006C4D24" w:rsidRPr="00F72ADA">
              <w:rPr>
                <w:rFonts w:ascii="Times New Roman" w:hAnsi="Times New Roman" w:cs="Times New Roman"/>
                <w:sz w:val="23"/>
                <w:szCs w:val="23"/>
              </w:rPr>
              <w:t>uthority in reply to a question or a request for clarification.</w:t>
            </w:r>
          </w:p>
        </w:tc>
      </w:tr>
      <w:tr w:rsidR="006D5E7D" w:rsidRPr="00F72ADA" w14:paraId="10494670" w14:textId="77777777" w:rsidTr="009F56B3">
        <w:trPr>
          <w:trHeight w:val="800"/>
        </w:trPr>
        <w:tc>
          <w:tcPr>
            <w:tcW w:w="540" w:type="dxa"/>
          </w:tcPr>
          <w:p w14:paraId="402F24CF" w14:textId="7975305F" w:rsidR="006D5E7D" w:rsidRPr="00F72ADA" w:rsidRDefault="00AC680C"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lastRenderedPageBreak/>
              <w:t>7.</w:t>
            </w:r>
          </w:p>
        </w:tc>
        <w:tc>
          <w:tcPr>
            <w:tcW w:w="5400" w:type="dxa"/>
          </w:tcPr>
          <w:p w14:paraId="0ADCEFD5" w14:textId="330FBA0A" w:rsidR="009153C6" w:rsidRPr="00F72ADA" w:rsidRDefault="006D5E7D" w:rsidP="00F72ADA">
            <w:pPr>
              <w:pStyle w:val="NormalWeb"/>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Please clarify if professional experiences carried out in countries during the pre-accession phase (Candidate countries) which then became</w:t>
            </w:r>
            <w:r w:rsid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EU member states, are also eligible and comply to the requirement of the</w:t>
            </w:r>
            <w:r w:rsid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general professional experience: at least 8 years of postgraduate professional experience in the EU members states rural development</w:t>
            </w:r>
            <w:r w:rsid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 xml:space="preserve">programmes” on page 16 of </w:t>
            </w:r>
            <w:proofErr w:type="spellStart"/>
            <w:r w:rsidRPr="00F72ADA">
              <w:rPr>
                <w:rFonts w:ascii="Times New Roman" w:hAnsi="Times New Roman" w:cs="Times New Roman"/>
                <w:sz w:val="23"/>
                <w:szCs w:val="23"/>
                <w:lang w:val="en-GB"/>
              </w:rPr>
              <w:t>ToR</w:t>
            </w:r>
            <w:proofErr w:type="spellEnd"/>
            <w:r w:rsidRPr="00F72ADA">
              <w:rPr>
                <w:rFonts w:ascii="Times New Roman" w:hAnsi="Times New Roman" w:cs="Times New Roman"/>
                <w:sz w:val="23"/>
                <w:szCs w:val="23"/>
                <w:lang w:val="en-GB"/>
              </w:rPr>
              <w:t>?</w:t>
            </w:r>
          </w:p>
          <w:p w14:paraId="6BA3E21A" w14:textId="476D59ED" w:rsidR="00AC680C" w:rsidRPr="00F72ADA" w:rsidRDefault="00AC680C" w:rsidP="00F72ADA">
            <w:pPr>
              <w:pStyle w:val="NormalWeb"/>
              <w:rPr>
                <w:rFonts w:ascii="Times New Roman" w:hAnsi="Times New Roman" w:cs="Times New Roman"/>
                <w:sz w:val="23"/>
                <w:szCs w:val="23"/>
                <w:lang w:val="en-GB"/>
              </w:rPr>
            </w:pPr>
          </w:p>
        </w:tc>
        <w:tc>
          <w:tcPr>
            <w:tcW w:w="4320" w:type="dxa"/>
          </w:tcPr>
          <w:p w14:paraId="0925F589" w14:textId="1F3946C1" w:rsidR="006D5E7D" w:rsidRPr="00F72ADA" w:rsidRDefault="006C4D24" w:rsidP="004058D7">
            <w:pPr>
              <w:pStyle w:val="PlainText"/>
              <w:jc w:val="both"/>
              <w:rPr>
                <w:rFonts w:ascii="Times New Roman" w:hAnsi="Times New Roman" w:cs="Times New Roman"/>
                <w:sz w:val="23"/>
                <w:szCs w:val="23"/>
                <w:lang w:val="en-GB"/>
              </w:rPr>
            </w:pPr>
            <w:r w:rsidRPr="00F72ADA">
              <w:rPr>
                <w:rFonts w:ascii="Times New Roman" w:hAnsi="Times New Roman" w:cs="Times New Roman"/>
                <w:sz w:val="23"/>
                <w:szCs w:val="23"/>
              </w:rPr>
              <w:t>Please see the answer to the question no.2.</w:t>
            </w:r>
          </w:p>
        </w:tc>
      </w:tr>
      <w:tr w:rsidR="00355A9C" w:rsidRPr="00F72ADA" w14:paraId="4E03DF03" w14:textId="77777777" w:rsidTr="009F56B3">
        <w:trPr>
          <w:trHeight w:val="800"/>
        </w:trPr>
        <w:tc>
          <w:tcPr>
            <w:tcW w:w="540" w:type="dxa"/>
          </w:tcPr>
          <w:p w14:paraId="6D97642A" w14:textId="2EEC4B4D" w:rsidR="00355A9C" w:rsidRPr="00F72ADA" w:rsidRDefault="00AC680C" w:rsidP="004058D7">
            <w:pPr>
              <w:jc w:val="both"/>
              <w:rPr>
                <w:rFonts w:ascii="Times New Roman" w:hAnsi="Times New Roman" w:cs="Times New Roman"/>
                <w:b/>
                <w:sz w:val="23"/>
                <w:szCs w:val="23"/>
                <w:lang w:val="en-GB"/>
              </w:rPr>
            </w:pPr>
            <w:r w:rsidRPr="00F72ADA">
              <w:rPr>
                <w:rFonts w:ascii="Times New Roman" w:hAnsi="Times New Roman" w:cs="Times New Roman"/>
                <w:b/>
                <w:sz w:val="23"/>
                <w:szCs w:val="23"/>
                <w:lang w:val="en-GB"/>
              </w:rPr>
              <w:t>8.</w:t>
            </w:r>
          </w:p>
        </w:tc>
        <w:tc>
          <w:tcPr>
            <w:tcW w:w="5400" w:type="dxa"/>
          </w:tcPr>
          <w:p w14:paraId="615CA4A2" w14:textId="77777777" w:rsidR="00AC680C" w:rsidRPr="00F72ADA" w:rsidRDefault="004C4E61" w:rsidP="00AC680C">
            <w:pPr>
              <w:pStyle w:val="NormalWeb"/>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 xml:space="preserve">Dear Madam/Sir, We would kindly like to ask you to provide clarification and information in relation to Annex II Terms of Reference and more specifically: Regarding the “General professional experience” required for both Key expert 1 and Key expert 2 positions: “At least 8 years of postgraduate professional experience in the field of EU member states rural development programmes”. </w:t>
            </w:r>
          </w:p>
          <w:p w14:paraId="72213BCF" w14:textId="77777777" w:rsidR="00AA48D2" w:rsidRPr="00F72ADA" w:rsidRDefault="004C4E61" w:rsidP="00AC680C">
            <w:pPr>
              <w:pStyle w:val="NormalWeb"/>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We find this requirement restrictive with regards to potential experts coming from the newest EU member states</w:t>
            </w:r>
            <w:r w:rsidR="00C72A8F" w:rsidRPr="00F72ADA">
              <w:rPr>
                <w:rFonts w:ascii="Times New Roman" w:hAnsi="Times New Roman" w:cs="Times New Roman"/>
                <w:sz w:val="23"/>
                <w:szCs w:val="23"/>
                <w:lang w:val="en-GB"/>
              </w:rPr>
              <w:t xml:space="preserve"> </w:t>
            </w:r>
            <w:r w:rsidRPr="00F72ADA">
              <w:rPr>
                <w:rFonts w:ascii="Times New Roman" w:hAnsi="Times New Roman" w:cs="Times New Roman"/>
                <w:sz w:val="23"/>
                <w:szCs w:val="23"/>
                <w:lang w:val="en-GB"/>
              </w:rPr>
              <w:t>(especially Croatia, given that the country joined the EU officially on July 1st 2013 and the Croatian RDP has been approved only in May 2015).</w:t>
            </w:r>
            <w:r w:rsidRPr="00F72ADA">
              <w:rPr>
                <w:rFonts w:ascii="Times New Roman" w:hAnsi="Times New Roman" w:cs="Times New Roman"/>
                <w:sz w:val="23"/>
                <w:szCs w:val="23"/>
                <w:lang w:val="en-GB"/>
              </w:rPr>
              <w:br/>
              <w:t xml:space="preserve">Would it be considered acceptable experience if an expert has at least 8 years of postgraduate professional experience in the field of “EU rural development programmes”, thus allowing pre-accession period to be accounted for. 1. Regarding the requirement for KE1 for Specific professional experience: “At least 5 years of postgraduate professional experience in the EU member states Managing Authority, on the posts that includes responsibility for programming of at least two Rural Development measures financed from EU funds” would it be considered eligible if the proposed expert has experience as external consultant to the MA in EU Member States? </w:t>
            </w:r>
          </w:p>
          <w:p w14:paraId="2BA7AA63" w14:textId="77777777" w:rsidR="00355A9C" w:rsidRPr="00F72ADA" w:rsidRDefault="004C4E61" w:rsidP="00AC680C">
            <w:pPr>
              <w:pStyle w:val="NormalWeb"/>
              <w:jc w:val="both"/>
              <w:rPr>
                <w:rFonts w:ascii="Times New Roman" w:hAnsi="Times New Roman" w:cs="Times New Roman"/>
                <w:sz w:val="23"/>
                <w:szCs w:val="23"/>
                <w:lang w:val="en-GB"/>
              </w:rPr>
            </w:pPr>
            <w:r w:rsidRPr="00F72ADA">
              <w:rPr>
                <w:rFonts w:ascii="Times New Roman" w:hAnsi="Times New Roman" w:cs="Times New Roman"/>
                <w:sz w:val="23"/>
                <w:szCs w:val="23"/>
                <w:lang w:val="en-GB"/>
              </w:rPr>
              <w:t>Also, again with regard to experts coming from the newest EU member States, would it be acceptable as qualifying experience if the expert has “at least 5 years of postgraduate professional experience in the Managing Authority, on the posts that includes responsibility for programing of at least two Rural Development measures financed from EU funds” before the official accession date of the certain member state, thus allowing pre-accession period to be also accounted for.</w:t>
            </w:r>
          </w:p>
          <w:p w14:paraId="63EA9412" w14:textId="0000663F" w:rsidR="00B60CF2" w:rsidRPr="00F72ADA" w:rsidRDefault="00B60CF2" w:rsidP="00AC680C">
            <w:pPr>
              <w:pStyle w:val="NormalWeb"/>
              <w:jc w:val="both"/>
              <w:rPr>
                <w:rFonts w:ascii="Times New Roman" w:hAnsi="Times New Roman" w:cs="Times New Roman"/>
                <w:sz w:val="23"/>
                <w:szCs w:val="23"/>
                <w:lang w:val="en-GB"/>
              </w:rPr>
            </w:pPr>
          </w:p>
        </w:tc>
        <w:tc>
          <w:tcPr>
            <w:tcW w:w="4320" w:type="dxa"/>
          </w:tcPr>
          <w:p w14:paraId="2B8A9E60" w14:textId="3B376783" w:rsidR="00355A9C" w:rsidRPr="00F72ADA" w:rsidRDefault="006C4D24" w:rsidP="004058D7">
            <w:pPr>
              <w:pStyle w:val="PlainText"/>
              <w:jc w:val="both"/>
              <w:rPr>
                <w:rFonts w:ascii="Times New Roman" w:hAnsi="Times New Roman" w:cs="Times New Roman"/>
                <w:sz w:val="23"/>
                <w:szCs w:val="23"/>
              </w:rPr>
            </w:pPr>
            <w:r w:rsidRPr="00F72ADA">
              <w:rPr>
                <w:rFonts w:ascii="Times New Roman" w:hAnsi="Times New Roman" w:cs="Times New Roman"/>
                <w:sz w:val="23"/>
                <w:szCs w:val="23"/>
              </w:rPr>
              <w:t>Please see the answer to the question no.2 regarding the General professional experience.</w:t>
            </w:r>
          </w:p>
          <w:p w14:paraId="387B3B5E" w14:textId="77777777" w:rsidR="007D1DBA" w:rsidRPr="00F72ADA" w:rsidRDefault="007D1DBA" w:rsidP="004058D7">
            <w:pPr>
              <w:pStyle w:val="PlainText"/>
              <w:jc w:val="both"/>
              <w:rPr>
                <w:rFonts w:ascii="Times New Roman" w:hAnsi="Times New Roman" w:cs="Times New Roman"/>
                <w:sz w:val="23"/>
                <w:szCs w:val="23"/>
              </w:rPr>
            </w:pPr>
          </w:p>
          <w:p w14:paraId="60E7F8A2" w14:textId="465CB514" w:rsidR="006C4D24" w:rsidRPr="00F72ADA" w:rsidRDefault="00B60CF2" w:rsidP="004058D7">
            <w:pPr>
              <w:pStyle w:val="PlainText"/>
              <w:jc w:val="both"/>
              <w:rPr>
                <w:rFonts w:ascii="Times New Roman" w:hAnsi="Times New Roman" w:cs="Times New Roman"/>
                <w:sz w:val="23"/>
                <w:szCs w:val="23"/>
              </w:rPr>
            </w:pPr>
            <w:r w:rsidRPr="00F72ADA">
              <w:rPr>
                <w:rFonts w:ascii="Times New Roman" w:hAnsi="Times New Roman" w:cs="Times New Roman"/>
                <w:sz w:val="23"/>
                <w:szCs w:val="23"/>
              </w:rPr>
              <w:t>In addition, please</w:t>
            </w:r>
            <w:r w:rsidR="003C1657" w:rsidRPr="00F72ADA">
              <w:rPr>
                <w:rFonts w:ascii="Times New Roman" w:hAnsi="Times New Roman" w:cs="Times New Roman"/>
                <w:sz w:val="23"/>
                <w:szCs w:val="23"/>
              </w:rPr>
              <w:t xml:space="preserve"> note that</w:t>
            </w:r>
            <w:r w:rsidR="006C4D24" w:rsidRPr="00F72ADA">
              <w:rPr>
                <w:rFonts w:ascii="Times New Roman" w:hAnsi="Times New Roman" w:cs="Times New Roman"/>
                <w:sz w:val="23"/>
                <w:szCs w:val="23"/>
              </w:rPr>
              <w:t xml:space="preserve"> </w:t>
            </w:r>
            <w:r w:rsidRPr="00F72ADA">
              <w:rPr>
                <w:rFonts w:ascii="Times New Roman" w:hAnsi="Times New Roman" w:cs="Times New Roman"/>
                <w:sz w:val="23"/>
                <w:szCs w:val="23"/>
              </w:rPr>
              <w:t>no prior opinion on the</w:t>
            </w:r>
            <w:r w:rsidR="00A61D9F" w:rsidRPr="00F72ADA">
              <w:rPr>
                <w:rFonts w:ascii="Times New Roman" w:hAnsi="Times New Roman" w:cs="Times New Roman"/>
                <w:sz w:val="23"/>
                <w:szCs w:val="23"/>
              </w:rPr>
              <w:t xml:space="preserve"> a</w:t>
            </w:r>
            <w:r w:rsidR="006C4D24" w:rsidRPr="00F72ADA">
              <w:rPr>
                <w:rFonts w:ascii="Times New Roman" w:hAnsi="Times New Roman" w:cs="Times New Roman"/>
                <w:sz w:val="23"/>
                <w:szCs w:val="23"/>
              </w:rPr>
              <w:t xml:space="preserve">ssessment of the tender can be given by the </w:t>
            </w:r>
            <w:r w:rsidR="00A61D9F" w:rsidRPr="00F72ADA">
              <w:rPr>
                <w:rFonts w:ascii="Times New Roman" w:hAnsi="Times New Roman" w:cs="Times New Roman"/>
                <w:sz w:val="23"/>
                <w:szCs w:val="23"/>
              </w:rPr>
              <w:t>C</w:t>
            </w:r>
            <w:r w:rsidR="006C4D24" w:rsidRPr="00F72ADA">
              <w:rPr>
                <w:rFonts w:ascii="Times New Roman" w:hAnsi="Times New Roman" w:cs="Times New Roman"/>
                <w:sz w:val="23"/>
                <w:szCs w:val="23"/>
              </w:rPr>
              <w:t xml:space="preserve">ontracting </w:t>
            </w:r>
            <w:r w:rsidR="00A61D9F" w:rsidRPr="00F72ADA">
              <w:rPr>
                <w:rFonts w:ascii="Times New Roman" w:hAnsi="Times New Roman" w:cs="Times New Roman"/>
                <w:sz w:val="23"/>
                <w:szCs w:val="23"/>
              </w:rPr>
              <w:t>A</w:t>
            </w:r>
            <w:r w:rsidR="006C4D24" w:rsidRPr="00F72ADA">
              <w:rPr>
                <w:rFonts w:ascii="Times New Roman" w:hAnsi="Times New Roman" w:cs="Times New Roman"/>
                <w:sz w:val="23"/>
                <w:szCs w:val="23"/>
              </w:rPr>
              <w:t>uthority in reply to a question or a request for clarification.</w:t>
            </w:r>
          </w:p>
          <w:p w14:paraId="7FEA8A82" w14:textId="77777777" w:rsidR="006C4D24" w:rsidRPr="00F72ADA" w:rsidRDefault="006C4D24" w:rsidP="004058D7">
            <w:pPr>
              <w:pStyle w:val="PlainText"/>
              <w:jc w:val="both"/>
              <w:rPr>
                <w:rFonts w:ascii="Times New Roman" w:hAnsi="Times New Roman" w:cs="Times New Roman"/>
                <w:sz w:val="23"/>
                <w:szCs w:val="23"/>
              </w:rPr>
            </w:pPr>
          </w:p>
          <w:p w14:paraId="63D0A1EC" w14:textId="77777777" w:rsidR="006C4D24" w:rsidRPr="00F72ADA" w:rsidRDefault="006C4D24" w:rsidP="004058D7">
            <w:pPr>
              <w:pStyle w:val="PlainText"/>
              <w:jc w:val="both"/>
              <w:rPr>
                <w:rFonts w:ascii="Times New Roman" w:hAnsi="Times New Roman" w:cs="Times New Roman"/>
                <w:sz w:val="23"/>
                <w:szCs w:val="23"/>
              </w:rPr>
            </w:pPr>
          </w:p>
          <w:p w14:paraId="55E0CEF2" w14:textId="77777777" w:rsidR="006C4D24" w:rsidRPr="00F72ADA" w:rsidRDefault="006C4D24" w:rsidP="004058D7">
            <w:pPr>
              <w:pStyle w:val="PlainText"/>
              <w:jc w:val="both"/>
              <w:rPr>
                <w:rFonts w:ascii="Times New Roman" w:hAnsi="Times New Roman" w:cs="Times New Roman"/>
                <w:sz w:val="23"/>
                <w:szCs w:val="23"/>
              </w:rPr>
            </w:pPr>
          </w:p>
          <w:p w14:paraId="2C700F8E" w14:textId="77777777" w:rsidR="006C4D24" w:rsidRPr="00F72ADA" w:rsidRDefault="006C4D24" w:rsidP="004058D7">
            <w:pPr>
              <w:pStyle w:val="PlainText"/>
              <w:jc w:val="both"/>
              <w:rPr>
                <w:rFonts w:ascii="Times New Roman" w:hAnsi="Times New Roman" w:cs="Times New Roman"/>
                <w:sz w:val="23"/>
                <w:szCs w:val="23"/>
              </w:rPr>
            </w:pPr>
          </w:p>
          <w:p w14:paraId="621174CE" w14:textId="77777777" w:rsidR="006C4D24" w:rsidRPr="00F72ADA" w:rsidRDefault="006C4D24" w:rsidP="004058D7">
            <w:pPr>
              <w:pStyle w:val="PlainText"/>
              <w:jc w:val="both"/>
              <w:rPr>
                <w:rFonts w:ascii="Times New Roman" w:hAnsi="Times New Roman" w:cs="Times New Roman"/>
                <w:sz w:val="23"/>
                <w:szCs w:val="23"/>
              </w:rPr>
            </w:pPr>
          </w:p>
          <w:p w14:paraId="52BAE1D8" w14:textId="77777777" w:rsidR="006C4D24" w:rsidRPr="00F72ADA" w:rsidRDefault="006C4D24" w:rsidP="004058D7">
            <w:pPr>
              <w:pStyle w:val="PlainText"/>
              <w:jc w:val="both"/>
              <w:rPr>
                <w:rFonts w:ascii="Times New Roman" w:hAnsi="Times New Roman" w:cs="Times New Roman"/>
                <w:sz w:val="23"/>
                <w:szCs w:val="23"/>
              </w:rPr>
            </w:pPr>
          </w:p>
          <w:p w14:paraId="66770198" w14:textId="77777777" w:rsidR="006C4D24" w:rsidRPr="00F72ADA" w:rsidRDefault="006C4D24" w:rsidP="004058D7">
            <w:pPr>
              <w:pStyle w:val="PlainText"/>
              <w:jc w:val="both"/>
              <w:rPr>
                <w:rFonts w:ascii="Times New Roman" w:hAnsi="Times New Roman" w:cs="Times New Roman"/>
                <w:sz w:val="23"/>
                <w:szCs w:val="23"/>
              </w:rPr>
            </w:pPr>
          </w:p>
          <w:p w14:paraId="7E851428" w14:textId="77777777" w:rsidR="006C4D24" w:rsidRPr="00F72ADA" w:rsidRDefault="006C4D24" w:rsidP="004058D7">
            <w:pPr>
              <w:pStyle w:val="PlainText"/>
              <w:jc w:val="both"/>
              <w:rPr>
                <w:rFonts w:ascii="Times New Roman" w:hAnsi="Times New Roman" w:cs="Times New Roman"/>
                <w:sz w:val="23"/>
                <w:szCs w:val="23"/>
              </w:rPr>
            </w:pPr>
          </w:p>
          <w:p w14:paraId="47261F79" w14:textId="77777777" w:rsidR="006C4D24" w:rsidRPr="00F72ADA" w:rsidRDefault="006C4D24" w:rsidP="004058D7">
            <w:pPr>
              <w:pStyle w:val="PlainText"/>
              <w:jc w:val="both"/>
              <w:rPr>
                <w:rFonts w:ascii="Times New Roman" w:hAnsi="Times New Roman" w:cs="Times New Roman"/>
                <w:sz w:val="23"/>
                <w:szCs w:val="23"/>
              </w:rPr>
            </w:pPr>
          </w:p>
          <w:p w14:paraId="1C923595" w14:textId="77777777" w:rsidR="006C4D24" w:rsidRPr="00F72ADA" w:rsidRDefault="006C4D24" w:rsidP="004058D7">
            <w:pPr>
              <w:pStyle w:val="PlainText"/>
              <w:jc w:val="both"/>
              <w:rPr>
                <w:rFonts w:ascii="Times New Roman" w:hAnsi="Times New Roman" w:cs="Times New Roman"/>
                <w:sz w:val="23"/>
                <w:szCs w:val="23"/>
              </w:rPr>
            </w:pPr>
          </w:p>
          <w:p w14:paraId="301E59B1" w14:textId="77777777" w:rsidR="006C4D24" w:rsidRPr="00F72ADA" w:rsidRDefault="006C4D24" w:rsidP="004058D7">
            <w:pPr>
              <w:pStyle w:val="PlainText"/>
              <w:jc w:val="both"/>
              <w:rPr>
                <w:rFonts w:ascii="Times New Roman" w:hAnsi="Times New Roman" w:cs="Times New Roman"/>
                <w:sz w:val="23"/>
                <w:szCs w:val="23"/>
              </w:rPr>
            </w:pPr>
          </w:p>
          <w:p w14:paraId="1763967F" w14:textId="77777777" w:rsidR="006C4D24" w:rsidRPr="00F72ADA" w:rsidRDefault="006C4D24" w:rsidP="004058D7">
            <w:pPr>
              <w:pStyle w:val="PlainText"/>
              <w:jc w:val="both"/>
              <w:rPr>
                <w:rFonts w:ascii="Times New Roman" w:hAnsi="Times New Roman" w:cs="Times New Roman"/>
                <w:sz w:val="23"/>
                <w:szCs w:val="23"/>
              </w:rPr>
            </w:pPr>
          </w:p>
          <w:p w14:paraId="62914CA4" w14:textId="77777777" w:rsidR="006C4D24" w:rsidRPr="00F72ADA" w:rsidRDefault="006C4D24" w:rsidP="004058D7">
            <w:pPr>
              <w:pStyle w:val="PlainText"/>
              <w:jc w:val="both"/>
              <w:rPr>
                <w:rFonts w:ascii="Times New Roman" w:hAnsi="Times New Roman" w:cs="Times New Roman"/>
                <w:sz w:val="23"/>
                <w:szCs w:val="23"/>
              </w:rPr>
            </w:pPr>
          </w:p>
          <w:p w14:paraId="7B362CDB" w14:textId="77777777" w:rsidR="006C4D24" w:rsidRPr="00F72ADA" w:rsidRDefault="006C4D24" w:rsidP="004058D7">
            <w:pPr>
              <w:pStyle w:val="PlainText"/>
              <w:jc w:val="both"/>
              <w:rPr>
                <w:rFonts w:ascii="Times New Roman" w:hAnsi="Times New Roman" w:cs="Times New Roman"/>
                <w:sz w:val="23"/>
                <w:szCs w:val="23"/>
              </w:rPr>
            </w:pPr>
          </w:p>
          <w:p w14:paraId="6863C25F" w14:textId="77777777" w:rsidR="006C4D24" w:rsidRPr="00F72ADA" w:rsidRDefault="006C4D24" w:rsidP="004058D7">
            <w:pPr>
              <w:pStyle w:val="PlainText"/>
              <w:jc w:val="both"/>
              <w:rPr>
                <w:rFonts w:ascii="Times New Roman" w:hAnsi="Times New Roman" w:cs="Times New Roman"/>
                <w:sz w:val="23"/>
                <w:szCs w:val="23"/>
              </w:rPr>
            </w:pPr>
          </w:p>
          <w:p w14:paraId="5624973E" w14:textId="77777777" w:rsidR="006C4D24" w:rsidRPr="00F72ADA" w:rsidRDefault="006C4D24" w:rsidP="004058D7">
            <w:pPr>
              <w:pStyle w:val="PlainText"/>
              <w:jc w:val="both"/>
              <w:rPr>
                <w:rFonts w:ascii="Times New Roman" w:hAnsi="Times New Roman" w:cs="Times New Roman"/>
                <w:sz w:val="23"/>
                <w:szCs w:val="23"/>
              </w:rPr>
            </w:pPr>
          </w:p>
          <w:p w14:paraId="54CB1278" w14:textId="77777777" w:rsidR="006C4D24" w:rsidRPr="00F72ADA" w:rsidRDefault="006C4D24" w:rsidP="004058D7">
            <w:pPr>
              <w:pStyle w:val="PlainText"/>
              <w:jc w:val="both"/>
              <w:rPr>
                <w:rFonts w:ascii="Times New Roman" w:hAnsi="Times New Roman" w:cs="Times New Roman"/>
                <w:sz w:val="23"/>
                <w:szCs w:val="23"/>
              </w:rPr>
            </w:pPr>
          </w:p>
          <w:p w14:paraId="0D90637B" w14:textId="77777777" w:rsidR="006C4D24" w:rsidRPr="00F72ADA" w:rsidRDefault="006C4D24" w:rsidP="004058D7">
            <w:pPr>
              <w:pStyle w:val="PlainText"/>
              <w:jc w:val="both"/>
              <w:rPr>
                <w:rFonts w:ascii="Times New Roman" w:hAnsi="Times New Roman" w:cs="Times New Roman"/>
                <w:sz w:val="23"/>
                <w:szCs w:val="23"/>
              </w:rPr>
            </w:pPr>
          </w:p>
          <w:p w14:paraId="77453002" w14:textId="77777777" w:rsidR="006C4D24" w:rsidRPr="00F72ADA" w:rsidRDefault="006C4D24" w:rsidP="004058D7">
            <w:pPr>
              <w:pStyle w:val="PlainText"/>
              <w:jc w:val="both"/>
              <w:rPr>
                <w:rFonts w:ascii="Times New Roman" w:hAnsi="Times New Roman" w:cs="Times New Roman"/>
                <w:sz w:val="23"/>
                <w:szCs w:val="23"/>
              </w:rPr>
            </w:pPr>
          </w:p>
          <w:p w14:paraId="344FC41F" w14:textId="77777777" w:rsidR="006C4D24" w:rsidRPr="00F72ADA" w:rsidRDefault="006C4D24" w:rsidP="004058D7">
            <w:pPr>
              <w:pStyle w:val="PlainText"/>
              <w:jc w:val="both"/>
              <w:rPr>
                <w:rFonts w:ascii="Times New Roman" w:hAnsi="Times New Roman" w:cs="Times New Roman"/>
                <w:sz w:val="23"/>
                <w:szCs w:val="23"/>
              </w:rPr>
            </w:pPr>
          </w:p>
          <w:p w14:paraId="7323BBCA" w14:textId="77777777" w:rsidR="006C4D24" w:rsidRPr="00F72ADA" w:rsidRDefault="006C4D24" w:rsidP="004058D7">
            <w:pPr>
              <w:pStyle w:val="PlainText"/>
              <w:jc w:val="both"/>
              <w:rPr>
                <w:rFonts w:ascii="Times New Roman" w:hAnsi="Times New Roman" w:cs="Times New Roman"/>
                <w:sz w:val="23"/>
                <w:szCs w:val="23"/>
              </w:rPr>
            </w:pPr>
          </w:p>
          <w:p w14:paraId="3CE82F1E" w14:textId="77777777" w:rsidR="006C4D24" w:rsidRPr="00F72ADA" w:rsidRDefault="006C4D24" w:rsidP="004058D7">
            <w:pPr>
              <w:pStyle w:val="PlainText"/>
              <w:jc w:val="both"/>
              <w:rPr>
                <w:rFonts w:ascii="Times New Roman" w:hAnsi="Times New Roman" w:cs="Times New Roman"/>
                <w:sz w:val="23"/>
                <w:szCs w:val="23"/>
              </w:rPr>
            </w:pPr>
          </w:p>
          <w:p w14:paraId="326459C1" w14:textId="77777777" w:rsidR="006C4D24" w:rsidRPr="00F72ADA" w:rsidRDefault="006C4D24" w:rsidP="004058D7">
            <w:pPr>
              <w:pStyle w:val="PlainText"/>
              <w:jc w:val="both"/>
              <w:rPr>
                <w:rFonts w:ascii="Times New Roman" w:hAnsi="Times New Roman" w:cs="Times New Roman"/>
                <w:sz w:val="23"/>
                <w:szCs w:val="23"/>
              </w:rPr>
            </w:pPr>
          </w:p>
          <w:p w14:paraId="393F5746" w14:textId="1B09C56F" w:rsidR="006C4D24" w:rsidRPr="00F72ADA" w:rsidRDefault="006C4D24" w:rsidP="004058D7">
            <w:pPr>
              <w:pStyle w:val="PlainText"/>
              <w:jc w:val="both"/>
              <w:rPr>
                <w:rFonts w:ascii="Times New Roman" w:hAnsi="Times New Roman" w:cs="Times New Roman"/>
                <w:sz w:val="23"/>
                <w:szCs w:val="23"/>
                <w:lang w:val="en-GB"/>
              </w:rPr>
            </w:pPr>
          </w:p>
        </w:tc>
      </w:tr>
    </w:tbl>
    <w:p w14:paraId="6B715792" w14:textId="77777777" w:rsidR="004B124A" w:rsidRPr="00F72ADA" w:rsidRDefault="006D4D23" w:rsidP="004058D7">
      <w:pPr>
        <w:jc w:val="both"/>
        <w:rPr>
          <w:b/>
          <w:sz w:val="23"/>
          <w:szCs w:val="23"/>
          <w:lang w:val="en-GB"/>
        </w:rPr>
      </w:pPr>
      <w:r w:rsidRPr="00F72ADA">
        <w:rPr>
          <w:b/>
          <w:sz w:val="23"/>
          <w:szCs w:val="23"/>
          <w:lang w:val="en-GB"/>
        </w:rPr>
        <w:t xml:space="preserve"> </w:t>
      </w:r>
    </w:p>
    <w:sectPr w:rsidR="004B124A" w:rsidRPr="00F72ADA" w:rsidSect="003667A9">
      <w:footerReference w:type="default" r:id="rId9"/>
      <w:pgSz w:w="11909" w:h="16834" w:code="9"/>
      <w:pgMar w:top="1008" w:right="1419"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FB77D3" w14:textId="77777777" w:rsidR="00B44A45" w:rsidRDefault="00B44A45" w:rsidP="00345E95">
      <w:r>
        <w:separator/>
      </w:r>
    </w:p>
  </w:endnote>
  <w:endnote w:type="continuationSeparator" w:id="0">
    <w:p w14:paraId="06D60C4C" w14:textId="77777777" w:rsidR="00B44A45" w:rsidRDefault="00B44A45" w:rsidP="0034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E772B" w14:textId="77777777" w:rsidR="00FF0624" w:rsidRPr="00D801B1" w:rsidRDefault="00FF0624" w:rsidP="00FF0624">
    <w:pPr>
      <w:pStyle w:val="Blockquote"/>
      <w:ind w:left="540"/>
      <w:jc w:val="center"/>
      <w:rPr>
        <w:b/>
        <w:sz w:val="23"/>
        <w:szCs w:val="23"/>
        <w:lang w:val="en-GB"/>
      </w:rPr>
    </w:pPr>
    <w:r>
      <w:rPr>
        <w:rFonts w:ascii="Verdana" w:eastAsia="Times New Roman" w:hAnsi="Verdana"/>
        <w:sz w:val="18"/>
        <w:szCs w:val="18"/>
      </w:rPr>
      <w:t>NEAR/BEG/2021/EA-RP/0023</w:t>
    </w:r>
  </w:p>
  <w:p w14:paraId="160404E8" w14:textId="77777777" w:rsidR="00345E95" w:rsidRDefault="00345E95" w:rsidP="00FF0624">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F5A7C" w14:textId="77777777" w:rsidR="00B44A45" w:rsidRDefault="00B44A45" w:rsidP="00345E95">
      <w:r>
        <w:separator/>
      </w:r>
    </w:p>
  </w:footnote>
  <w:footnote w:type="continuationSeparator" w:id="0">
    <w:p w14:paraId="1CE3E83F" w14:textId="77777777" w:rsidR="00B44A45" w:rsidRDefault="00B44A45" w:rsidP="00345E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0046FE"/>
    <w:multiLevelType w:val="hybridMultilevel"/>
    <w:tmpl w:val="E09C84A0"/>
    <w:lvl w:ilvl="0" w:tplc="C69E4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FC0EFE"/>
    <w:multiLevelType w:val="hybridMultilevel"/>
    <w:tmpl w:val="9F5651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356C"/>
    <w:multiLevelType w:val="hybridMultilevel"/>
    <w:tmpl w:val="910C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73F76"/>
    <w:multiLevelType w:val="hybridMultilevel"/>
    <w:tmpl w:val="8D104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9695F"/>
    <w:multiLevelType w:val="hybridMultilevel"/>
    <w:tmpl w:val="5EBA5E9A"/>
    <w:lvl w:ilvl="0" w:tplc="04090017">
      <w:start w:val="1"/>
      <w:numFmt w:val="lowerLetter"/>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E6095"/>
    <w:multiLevelType w:val="hybridMultilevel"/>
    <w:tmpl w:val="3CCC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904CFC"/>
    <w:multiLevelType w:val="hybridMultilevel"/>
    <w:tmpl w:val="3014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641C6"/>
    <w:multiLevelType w:val="hybridMultilevel"/>
    <w:tmpl w:val="051A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02F24"/>
    <w:multiLevelType w:val="hybridMultilevel"/>
    <w:tmpl w:val="082E0F30"/>
    <w:lvl w:ilvl="0" w:tplc="9048958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69971786"/>
    <w:multiLevelType w:val="hybridMultilevel"/>
    <w:tmpl w:val="46DCF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48223A"/>
    <w:multiLevelType w:val="hybridMultilevel"/>
    <w:tmpl w:val="7F2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2D7D71"/>
    <w:multiLevelType w:val="hybridMultilevel"/>
    <w:tmpl w:val="D0DE5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1"/>
  </w:num>
  <w:num w:numId="5">
    <w:abstractNumId w:val="12"/>
  </w:num>
  <w:num w:numId="6">
    <w:abstractNumId w:val="7"/>
  </w:num>
  <w:num w:numId="7">
    <w:abstractNumId w:val="2"/>
  </w:num>
  <w:num w:numId="8">
    <w:abstractNumId w:val="5"/>
  </w:num>
  <w:num w:numId="9">
    <w:abstractNumId w:val="4"/>
  </w:num>
  <w:num w:numId="10">
    <w:abstractNumId w:val="10"/>
  </w:num>
  <w:num w:numId="11">
    <w:abstractNumId w:val="6"/>
  </w:num>
  <w:num w:numId="12">
    <w:abstractNumId w:val="3"/>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91DAF"/>
    <w:rsid w:val="0000480C"/>
    <w:rsid w:val="0001425A"/>
    <w:rsid w:val="00020F46"/>
    <w:rsid w:val="000212F0"/>
    <w:rsid w:val="0002146F"/>
    <w:rsid w:val="0002162E"/>
    <w:rsid w:val="00022812"/>
    <w:rsid w:val="00025EFB"/>
    <w:rsid w:val="0003040F"/>
    <w:rsid w:val="00036D72"/>
    <w:rsid w:val="0004188B"/>
    <w:rsid w:val="00057F0E"/>
    <w:rsid w:val="00061667"/>
    <w:rsid w:val="00061EF0"/>
    <w:rsid w:val="000637B2"/>
    <w:rsid w:val="00066C2C"/>
    <w:rsid w:val="000672CA"/>
    <w:rsid w:val="00072BA5"/>
    <w:rsid w:val="000818C2"/>
    <w:rsid w:val="0008323B"/>
    <w:rsid w:val="00091049"/>
    <w:rsid w:val="00091587"/>
    <w:rsid w:val="00095B59"/>
    <w:rsid w:val="000A232B"/>
    <w:rsid w:val="000A6DBC"/>
    <w:rsid w:val="000B03FE"/>
    <w:rsid w:val="000B3623"/>
    <w:rsid w:val="000B70E0"/>
    <w:rsid w:val="000C020C"/>
    <w:rsid w:val="000C3C1A"/>
    <w:rsid w:val="000C5C50"/>
    <w:rsid w:val="000C7015"/>
    <w:rsid w:val="000C70D8"/>
    <w:rsid w:val="000D1426"/>
    <w:rsid w:val="000E3DEB"/>
    <w:rsid w:val="000E545F"/>
    <w:rsid w:val="000E6505"/>
    <w:rsid w:val="000E672B"/>
    <w:rsid w:val="000F41A9"/>
    <w:rsid w:val="000F5665"/>
    <w:rsid w:val="0010218F"/>
    <w:rsid w:val="001048EB"/>
    <w:rsid w:val="00105FA6"/>
    <w:rsid w:val="0011146B"/>
    <w:rsid w:val="001114FD"/>
    <w:rsid w:val="00117DDE"/>
    <w:rsid w:val="00121498"/>
    <w:rsid w:val="0012304A"/>
    <w:rsid w:val="00124453"/>
    <w:rsid w:val="00125575"/>
    <w:rsid w:val="00130CA7"/>
    <w:rsid w:val="00133A20"/>
    <w:rsid w:val="00141C67"/>
    <w:rsid w:val="00144EB6"/>
    <w:rsid w:val="00147363"/>
    <w:rsid w:val="00154EF8"/>
    <w:rsid w:val="001559F1"/>
    <w:rsid w:val="0015644C"/>
    <w:rsid w:val="0016076D"/>
    <w:rsid w:val="00172D11"/>
    <w:rsid w:val="00172E0D"/>
    <w:rsid w:val="00180CE9"/>
    <w:rsid w:val="00194D2B"/>
    <w:rsid w:val="001959C3"/>
    <w:rsid w:val="001A2639"/>
    <w:rsid w:val="001A429B"/>
    <w:rsid w:val="001A7859"/>
    <w:rsid w:val="001B24CD"/>
    <w:rsid w:val="001C17A5"/>
    <w:rsid w:val="001D0274"/>
    <w:rsid w:val="001D3088"/>
    <w:rsid w:val="001D5604"/>
    <w:rsid w:val="001D5FBB"/>
    <w:rsid w:val="001D704F"/>
    <w:rsid w:val="001D7944"/>
    <w:rsid w:val="001E28AE"/>
    <w:rsid w:val="001E6083"/>
    <w:rsid w:val="001E7469"/>
    <w:rsid w:val="001F6396"/>
    <w:rsid w:val="002034C9"/>
    <w:rsid w:val="002106E7"/>
    <w:rsid w:val="00231E73"/>
    <w:rsid w:val="002335E9"/>
    <w:rsid w:val="002349F9"/>
    <w:rsid w:val="00235DF4"/>
    <w:rsid w:val="002369A2"/>
    <w:rsid w:val="00245795"/>
    <w:rsid w:val="00247CDB"/>
    <w:rsid w:val="00250DDE"/>
    <w:rsid w:val="002570F3"/>
    <w:rsid w:val="002625E9"/>
    <w:rsid w:val="002626F8"/>
    <w:rsid w:val="00263C8F"/>
    <w:rsid w:val="00266321"/>
    <w:rsid w:val="00287A05"/>
    <w:rsid w:val="002A367D"/>
    <w:rsid w:val="002A46D5"/>
    <w:rsid w:val="002A5145"/>
    <w:rsid w:val="002B2865"/>
    <w:rsid w:val="002B3198"/>
    <w:rsid w:val="002B361A"/>
    <w:rsid w:val="002B5335"/>
    <w:rsid w:val="002B5992"/>
    <w:rsid w:val="002C38B8"/>
    <w:rsid w:val="002D48E0"/>
    <w:rsid w:val="002D49D8"/>
    <w:rsid w:val="002E25D8"/>
    <w:rsid w:val="002E464E"/>
    <w:rsid w:val="002F0F09"/>
    <w:rsid w:val="00302BAE"/>
    <w:rsid w:val="00304C45"/>
    <w:rsid w:val="0031749F"/>
    <w:rsid w:val="00320B58"/>
    <w:rsid w:val="00320D7E"/>
    <w:rsid w:val="00324E0C"/>
    <w:rsid w:val="0032531D"/>
    <w:rsid w:val="00332102"/>
    <w:rsid w:val="00332B45"/>
    <w:rsid w:val="00333A46"/>
    <w:rsid w:val="003361A5"/>
    <w:rsid w:val="00337BDA"/>
    <w:rsid w:val="00345E95"/>
    <w:rsid w:val="00350E4A"/>
    <w:rsid w:val="00352E90"/>
    <w:rsid w:val="00352F6B"/>
    <w:rsid w:val="00353A7D"/>
    <w:rsid w:val="00355A9C"/>
    <w:rsid w:val="00364915"/>
    <w:rsid w:val="003667A9"/>
    <w:rsid w:val="0036717E"/>
    <w:rsid w:val="00385906"/>
    <w:rsid w:val="00394253"/>
    <w:rsid w:val="003A1E3B"/>
    <w:rsid w:val="003A2936"/>
    <w:rsid w:val="003A495E"/>
    <w:rsid w:val="003C00B8"/>
    <w:rsid w:val="003C1657"/>
    <w:rsid w:val="003C3BDE"/>
    <w:rsid w:val="003C6DCC"/>
    <w:rsid w:val="003D34B1"/>
    <w:rsid w:val="003E0817"/>
    <w:rsid w:val="003E0D59"/>
    <w:rsid w:val="003E18F0"/>
    <w:rsid w:val="003E5AEA"/>
    <w:rsid w:val="003F626C"/>
    <w:rsid w:val="004058D7"/>
    <w:rsid w:val="00411435"/>
    <w:rsid w:val="00412470"/>
    <w:rsid w:val="00417A1C"/>
    <w:rsid w:val="004233F1"/>
    <w:rsid w:val="00423D48"/>
    <w:rsid w:val="00426D37"/>
    <w:rsid w:val="00426E91"/>
    <w:rsid w:val="004410D1"/>
    <w:rsid w:val="00445F2D"/>
    <w:rsid w:val="004523BD"/>
    <w:rsid w:val="0045570C"/>
    <w:rsid w:val="00455D7A"/>
    <w:rsid w:val="004571E6"/>
    <w:rsid w:val="00463FB7"/>
    <w:rsid w:val="00470D3D"/>
    <w:rsid w:val="004716FC"/>
    <w:rsid w:val="00473130"/>
    <w:rsid w:val="00474B6B"/>
    <w:rsid w:val="00475AF1"/>
    <w:rsid w:val="00482A27"/>
    <w:rsid w:val="00487C14"/>
    <w:rsid w:val="00494B40"/>
    <w:rsid w:val="00496C00"/>
    <w:rsid w:val="004A70CC"/>
    <w:rsid w:val="004B1101"/>
    <w:rsid w:val="004B124A"/>
    <w:rsid w:val="004B74F6"/>
    <w:rsid w:val="004C0152"/>
    <w:rsid w:val="004C3328"/>
    <w:rsid w:val="004C4E61"/>
    <w:rsid w:val="004C713B"/>
    <w:rsid w:val="004D3787"/>
    <w:rsid w:val="004D7176"/>
    <w:rsid w:val="004E0050"/>
    <w:rsid w:val="004E4370"/>
    <w:rsid w:val="004E498A"/>
    <w:rsid w:val="004E5527"/>
    <w:rsid w:val="004E7AD5"/>
    <w:rsid w:val="004F3E4F"/>
    <w:rsid w:val="004F66DD"/>
    <w:rsid w:val="00504E38"/>
    <w:rsid w:val="0050649E"/>
    <w:rsid w:val="00506E0E"/>
    <w:rsid w:val="00506E70"/>
    <w:rsid w:val="0052031E"/>
    <w:rsid w:val="0052181B"/>
    <w:rsid w:val="0052710D"/>
    <w:rsid w:val="0053292B"/>
    <w:rsid w:val="00535609"/>
    <w:rsid w:val="0053724E"/>
    <w:rsid w:val="0054009E"/>
    <w:rsid w:val="00541337"/>
    <w:rsid w:val="00552064"/>
    <w:rsid w:val="005532AA"/>
    <w:rsid w:val="00553F34"/>
    <w:rsid w:val="0055609B"/>
    <w:rsid w:val="0056260C"/>
    <w:rsid w:val="00565A0A"/>
    <w:rsid w:val="00566709"/>
    <w:rsid w:val="00570382"/>
    <w:rsid w:val="00570E61"/>
    <w:rsid w:val="005809B3"/>
    <w:rsid w:val="00583558"/>
    <w:rsid w:val="00593B62"/>
    <w:rsid w:val="0059456D"/>
    <w:rsid w:val="005957C4"/>
    <w:rsid w:val="00595F91"/>
    <w:rsid w:val="005A1234"/>
    <w:rsid w:val="005A55D9"/>
    <w:rsid w:val="005A6AB4"/>
    <w:rsid w:val="005B0121"/>
    <w:rsid w:val="005B4C42"/>
    <w:rsid w:val="005D2B21"/>
    <w:rsid w:val="005E2443"/>
    <w:rsid w:val="005E3F2D"/>
    <w:rsid w:val="005E41B6"/>
    <w:rsid w:val="005E6C62"/>
    <w:rsid w:val="005F2AC4"/>
    <w:rsid w:val="005F3011"/>
    <w:rsid w:val="005F54DA"/>
    <w:rsid w:val="00601248"/>
    <w:rsid w:val="00603CA0"/>
    <w:rsid w:val="006072CD"/>
    <w:rsid w:val="006101B7"/>
    <w:rsid w:val="00612B8C"/>
    <w:rsid w:val="00615142"/>
    <w:rsid w:val="00622099"/>
    <w:rsid w:val="0062629F"/>
    <w:rsid w:val="00632D0F"/>
    <w:rsid w:val="0064364D"/>
    <w:rsid w:val="00645C0C"/>
    <w:rsid w:val="0064725C"/>
    <w:rsid w:val="006478BF"/>
    <w:rsid w:val="00647AD8"/>
    <w:rsid w:val="00651325"/>
    <w:rsid w:val="006548F3"/>
    <w:rsid w:val="00656C37"/>
    <w:rsid w:val="00661F7A"/>
    <w:rsid w:val="00670A9E"/>
    <w:rsid w:val="00675780"/>
    <w:rsid w:val="006860D4"/>
    <w:rsid w:val="00695850"/>
    <w:rsid w:val="006A01E3"/>
    <w:rsid w:val="006B36F6"/>
    <w:rsid w:val="006C0EC4"/>
    <w:rsid w:val="006C3185"/>
    <w:rsid w:val="006C389B"/>
    <w:rsid w:val="006C43BC"/>
    <w:rsid w:val="006C4D24"/>
    <w:rsid w:val="006C7B23"/>
    <w:rsid w:val="006D2BD0"/>
    <w:rsid w:val="006D3125"/>
    <w:rsid w:val="006D476F"/>
    <w:rsid w:val="006D4D23"/>
    <w:rsid w:val="006D5E7D"/>
    <w:rsid w:val="006D608A"/>
    <w:rsid w:val="006D635C"/>
    <w:rsid w:val="006E05D2"/>
    <w:rsid w:val="006E1146"/>
    <w:rsid w:val="006E1617"/>
    <w:rsid w:val="006E2779"/>
    <w:rsid w:val="006F0A83"/>
    <w:rsid w:val="006F1BE9"/>
    <w:rsid w:val="006F276F"/>
    <w:rsid w:val="00702E2E"/>
    <w:rsid w:val="007071FE"/>
    <w:rsid w:val="00714996"/>
    <w:rsid w:val="00715741"/>
    <w:rsid w:val="00723B45"/>
    <w:rsid w:val="00733C39"/>
    <w:rsid w:val="007400D2"/>
    <w:rsid w:val="00740B9B"/>
    <w:rsid w:val="00746165"/>
    <w:rsid w:val="00752896"/>
    <w:rsid w:val="00752A3D"/>
    <w:rsid w:val="00754D98"/>
    <w:rsid w:val="007552BA"/>
    <w:rsid w:val="00760772"/>
    <w:rsid w:val="007609BB"/>
    <w:rsid w:val="00761527"/>
    <w:rsid w:val="007620F9"/>
    <w:rsid w:val="00762CAB"/>
    <w:rsid w:val="00762D8C"/>
    <w:rsid w:val="00796DE3"/>
    <w:rsid w:val="007A00BA"/>
    <w:rsid w:val="007A7B6E"/>
    <w:rsid w:val="007B68CE"/>
    <w:rsid w:val="007C19AF"/>
    <w:rsid w:val="007C3527"/>
    <w:rsid w:val="007C3AE4"/>
    <w:rsid w:val="007C5179"/>
    <w:rsid w:val="007C5EC2"/>
    <w:rsid w:val="007D127F"/>
    <w:rsid w:val="007D1DBA"/>
    <w:rsid w:val="007D4EE7"/>
    <w:rsid w:val="007D51EA"/>
    <w:rsid w:val="007F089A"/>
    <w:rsid w:val="007F31D6"/>
    <w:rsid w:val="007F5B1F"/>
    <w:rsid w:val="008173A0"/>
    <w:rsid w:val="00817C26"/>
    <w:rsid w:val="00817C55"/>
    <w:rsid w:val="0082117D"/>
    <w:rsid w:val="00826463"/>
    <w:rsid w:val="00830493"/>
    <w:rsid w:val="00832907"/>
    <w:rsid w:val="00843ECE"/>
    <w:rsid w:val="00844635"/>
    <w:rsid w:val="008536A1"/>
    <w:rsid w:val="00855131"/>
    <w:rsid w:val="008600D0"/>
    <w:rsid w:val="00860F11"/>
    <w:rsid w:val="00861936"/>
    <w:rsid w:val="00863E23"/>
    <w:rsid w:val="00881BBD"/>
    <w:rsid w:val="008828C1"/>
    <w:rsid w:val="00883289"/>
    <w:rsid w:val="00884D67"/>
    <w:rsid w:val="008867F8"/>
    <w:rsid w:val="008963CA"/>
    <w:rsid w:val="00897C1E"/>
    <w:rsid w:val="008B2F7F"/>
    <w:rsid w:val="008C0B5A"/>
    <w:rsid w:val="008C7586"/>
    <w:rsid w:val="008D2240"/>
    <w:rsid w:val="008D6E51"/>
    <w:rsid w:val="008E0FC2"/>
    <w:rsid w:val="008E54D7"/>
    <w:rsid w:val="008E6EFF"/>
    <w:rsid w:val="008F0D65"/>
    <w:rsid w:val="008F7E80"/>
    <w:rsid w:val="009043DE"/>
    <w:rsid w:val="00904FCA"/>
    <w:rsid w:val="00905C98"/>
    <w:rsid w:val="00910DBF"/>
    <w:rsid w:val="009153C6"/>
    <w:rsid w:val="00922807"/>
    <w:rsid w:val="00925716"/>
    <w:rsid w:val="009262AD"/>
    <w:rsid w:val="00931287"/>
    <w:rsid w:val="009331FD"/>
    <w:rsid w:val="00941F90"/>
    <w:rsid w:val="00942F66"/>
    <w:rsid w:val="00954BF8"/>
    <w:rsid w:val="00961115"/>
    <w:rsid w:val="0096418E"/>
    <w:rsid w:val="00973FD1"/>
    <w:rsid w:val="00975CC4"/>
    <w:rsid w:val="00975FE6"/>
    <w:rsid w:val="00977B20"/>
    <w:rsid w:val="00980DE6"/>
    <w:rsid w:val="00980ECE"/>
    <w:rsid w:val="0098319E"/>
    <w:rsid w:val="00991B56"/>
    <w:rsid w:val="00997CCB"/>
    <w:rsid w:val="009A1274"/>
    <w:rsid w:val="009A421A"/>
    <w:rsid w:val="009C00E0"/>
    <w:rsid w:val="009C4E75"/>
    <w:rsid w:val="009C6E16"/>
    <w:rsid w:val="009D6C66"/>
    <w:rsid w:val="009E1AFE"/>
    <w:rsid w:val="009F3432"/>
    <w:rsid w:val="009F40AA"/>
    <w:rsid w:val="009F56B3"/>
    <w:rsid w:val="009F6904"/>
    <w:rsid w:val="00A00ABB"/>
    <w:rsid w:val="00A07A34"/>
    <w:rsid w:val="00A104FE"/>
    <w:rsid w:val="00A1767F"/>
    <w:rsid w:val="00A20ECF"/>
    <w:rsid w:val="00A25737"/>
    <w:rsid w:val="00A266C3"/>
    <w:rsid w:val="00A32665"/>
    <w:rsid w:val="00A52769"/>
    <w:rsid w:val="00A5447F"/>
    <w:rsid w:val="00A5606F"/>
    <w:rsid w:val="00A61D9F"/>
    <w:rsid w:val="00A73E3C"/>
    <w:rsid w:val="00A81A38"/>
    <w:rsid w:val="00A85851"/>
    <w:rsid w:val="00A85E81"/>
    <w:rsid w:val="00A92FD4"/>
    <w:rsid w:val="00A93FED"/>
    <w:rsid w:val="00A945DB"/>
    <w:rsid w:val="00A9613A"/>
    <w:rsid w:val="00A979CD"/>
    <w:rsid w:val="00AA1FF4"/>
    <w:rsid w:val="00AA2422"/>
    <w:rsid w:val="00AA476D"/>
    <w:rsid w:val="00AA48D2"/>
    <w:rsid w:val="00AA7AE7"/>
    <w:rsid w:val="00AB01E6"/>
    <w:rsid w:val="00AB3CE0"/>
    <w:rsid w:val="00AC14C6"/>
    <w:rsid w:val="00AC1635"/>
    <w:rsid w:val="00AC5F14"/>
    <w:rsid w:val="00AC680C"/>
    <w:rsid w:val="00AD2D3B"/>
    <w:rsid w:val="00AD6607"/>
    <w:rsid w:val="00AF1DE3"/>
    <w:rsid w:val="00AF2EE5"/>
    <w:rsid w:val="00AF44A7"/>
    <w:rsid w:val="00AF49EC"/>
    <w:rsid w:val="00B2156F"/>
    <w:rsid w:val="00B22325"/>
    <w:rsid w:val="00B44A45"/>
    <w:rsid w:val="00B4535D"/>
    <w:rsid w:val="00B543F6"/>
    <w:rsid w:val="00B60CF2"/>
    <w:rsid w:val="00B6760F"/>
    <w:rsid w:val="00B67CBE"/>
    <w:rsid w:val="00B72246"/>
    <w:rsid w:val="00B73E12"/>
    <w:rsid w:val="00B75D28"/>
    <w:rsid w:val="00B770B7"/>
    <w:rsid w:val="00B77BE7"/>
    <w:rsid w:val="00B84F9A"/>
    <w:rsid w:val="00B9295E"/>
    <w:rsid w:val="00B94740"/>
    <w:rsid w:val="00BA2005"/>
    <w:rsid w:val="00BA7175"/>
    <w:rsid w:val="00BB0EAF"/>
    <w:rsid w:val="00BB3E2F"/>
    <w:rsid w:val="00BB657B"/>
    <w:rsid w:val="00BC04D6"/>
    <w:rsid w:val="00BC4198"/>
    <w:rsid w:val="00BD34C2"/>
    <w:rsid w:val="00BD5BC7"/>
    <w:rsid w:val="00BD5FBD"/>
    <w:rsid w:val="00BD6C66"/>
    <w:rsid w:val="00BE1A44"/>
    <w:rsid w:val="00BE4898"/>
    <w:rsid w:val="00BE7387"/>
    <w:rsid w:val="00BE73F7"/>
    <w:rsid w:val="00BF2361"/>
    <w:rsid w:val="00C02A4B"/>
    <w:rsid w:val="00C03A70"/>
    <w:rsid w:val="00C05913"/>
    <w:rsid w:val="00C07289"/>
    <w:rsid w:val="00C161F1"/>
    <w:rsid w:val="00C16BD6"/>
    <w:rsid w:val="00C20295"/>
    <w:rsid w:val="00C20C6B"/>
    <w:rsid w:val="00C269C3"/>
    <w:rsid w:val="00C27D11"/>
    <w:rsid w:val="00C312E3"/>
    <w:rsid w:val="00C3270F"/>
    <w:rsid w:val="00C34A8A"/>
    <w:rsid w:val="00C41A0F"/>
    <w:rsid w:val="00C439A8"/>
    <w:rsid w:val="00C43A80"/>
    <w:rsid w:val="00C54B49"/>
    <w:rsid w:val="00C57100"/>
    <w:rsid w:val="00C60960"/>
    <w:rsid w:val="00C6300F"/>
    <w:rsid w:val="00C70133"/>
    <w:rsid w:val="00C72A8F"/>
    <w:rsid w:val="00C7493B"/>
    <w:rsid w:val="00C800BF"/>
    <w:rsid w:val="00C85392"/>
    <w:rsid w:val="00C91DAF"/>
    <w:rsid w:val="00C93703"/>
    <w:rsid w:val="00CA1C9C"/>
    <w:rsid w:val="00CB1EAB"/>
    <w:rsid w:val="00CB589B"/>
    <w:rsid w:val="00CB5A1B"/>
    <w:rsid w:val="00CC03CC"/>
    <w:rsid w:val="00CC0D22"/>
    <w:rsid w:val="00CE000C"/>
    <w:rsid w:val="00CE5621"/>
    <w:rsid w:val="00CF0D9C"/>
    <w:rsid w:val="00D05508"/>
    <w:rsid w:val="00D1173D"/>
    <w:rsid w:val="00D14B0F"/>
    <w:rsid w:val="00D16C2E"/>
    <w:rsid w:val="00D20FFC"/>
    <w:rsid w:val="00D27CA7"/>
    <w:rsid w:val="00D3006E"/>
    <w:rsid w:val="00D35CEB"/>
    <w:rsid w:val="00D40EC1"/>
    <w:rsid w:val="00D42324"/>
    <w:rsid w:val="00D434E3"/>
    <w:rsid w:val="00D523B4"/>
    <w:rsid w:val="00D54660"/>
    <w:rsid w:val="00D56A0C"/>
    <w:rsid w:val="00D56C46"/>
    <w:rsid w:val="00D62BA8"/>
    <w:rsid w:val="00D6487F"/>
    <w:rsid w:val="00D801B1"/>
    <w:rsid w:val="00D82632"/>
    <w:rsid w:val="00D82763"/>
    <w:rsid w:val="00D83152"/>
    <w:rsid w:val="00D83497"/>
    <w:rsid w:val="00D85F16"/>
    <w:rsid w:val="00D917D9"/>
    <w:rsid w:val="00D934C6"/>
    <w:rsid w:val="00D94172"/>
    <w:rsid w:val="00D95F76"/>
    <w:rsid w:val="00D966CC"/>
    <w:rsid w:val="00D972D9"/>
    <w:rsid w:val="00DA55CA"/>
    <w:rsid w:val="00DA73E8"/>
    <w:rsid w:val="00DB3D97"/>
    <w:rsid w:val="00DC0057"/>
    <w:rsid w:val="00DC0879"/>
    <w:rsid w:val="00DC42B7"/>
    <w:rsid w:val="00DC7A97"/>
    <w:rsid w:val="00DD345E"/>
    <w:rsid w:val="00DD4938"/>
    <w:rsid w:val="00DE5ED6"/>
    <w:rsid w:val="00DF582E"/>
    <w:rsid w:val="00E0109C"/>
    <w:rsid w:val="00E0169A"/>
    <w:rsid w:val="00E02EA3"/>
    <w:rsid w:val="00E040D6"/>
    <w:rsid w:val="00E04913"/>
    <w:rsid w:val="00E069C1"/>
    <w:rsid w:val="00E06A35"/>
    <w:rsid w:val="00E153F3"/>
    <w:rsid w:val="00E17C18"/>
    <w:rsid w:val="00E20A99"/>
    <w:rsid w:val="00E2351B"/>
    <w:rsid w:val="00E240E6"/>
    <w:rsid w:val="00E26EB7"/>
    <w:rsid w:val="00E32CFC"/>
    <w:rsid w:val="00E46E6A"/>
    <w:rsid w:val="00E518B7"/>
    <w:rsid w:val="00E622F2"/>
    <w:rsid w:val="00E62E2E"/>
    <w:rsid w:val="00E67ED5"/>
    <w:rsid w:val="00E85A23"/>
    <w:rsid w:val="00E907A3"/>
    <w:rsid w:val="00E96E49"/>
    <w:rsid w:val="00EA68AD"/>
    <w:rsid w:val="00EA78AE"/>
    <w:rsid w:val="00EB2A31"/>
    <w:rsid w:val="00EB4055"/>
    <w:rsid w:val="00EB746A"/>
    <w:rsid w:val="00EC1A6A"/>
    <w:rsid w:val="00EC5184"/>
    <w:rsid w:val="00ED2C22"/>
    <w:rsid w:val="00ED58D7"/>
    <w:rsid w:val="00EE25AD"/>
    <w:rsid w:val="00EF0943"/>
    <w:rsid w:val="00F0061B"/>
    <w:rsid w:val="00F01866"/>
    <w:rsid w:val="00F01C67"/>
    <w:rsid w:val="00F024F7"/>
    <w:rsid w:val="00F05A3E"/>
    <w:rsid w:val="00F07FA0"/>
    <w:rsid w:val="00F11A0A"/>
    <w:rsid w:val="00F12788"/>
    <w:rsid w:val="00F136BE"/>
    <w:rsid w:val="00F13EF4"/>
    <w:rsid w:val="00F1641A"/>
    <w:rsid w:val="00F17F03"/>
    <w:rsid w:val="00F20374"/>
    <w:rsid w:val="00F218F4"/>
    <w:rsid w:val="00F22362"/>
    <w:rsid w:val="00F23F46"/>
    <w:rsid w:val="00F30D35"/>
    <w:rsid w:val="00F3285D"/>
    <w:rsid w:val="00F336A1"/>
    <w:rsid w:val="00F33A35"/>
    <w:rsid w:val="00F34849"/>
    <w:rsid w:val="00F36516"/>
    <w:rsid w:val="00F37526"/>
    <w:rsid w:val="00F41E5C"/>
    <w:rsid w:val="00F436A1"/>
    <w:rsid w:val="00F436A7"/>
    <w:rsid w:val="00F464CD"/>
    <w:rsid w:val="00F62554"/>
    <w:rsid w:val="00F632C8"/>
    <w:rsid w:val="00F65A12"/>
    <w:rsid w:val="00F661E4"/>
    <w:rsid w:val="00F66D8C"/>
    <w:rsid w:val="00F715B6"/>
    <w:rsid w:val="00F72ADA"/>
    <w:rsid w:val="00F73F3D"/>
    <w:rsid w:val="00F74DE3"/>
    <w:rsid w:val="00F75463"/>
    <w:rsid w:val="00F8354E"/>
    <w:rsid w:val="00F900C9"/>
    <w:rsid w:val="00F967B5"/>
    <w:rsid w:val="00FA097C"/>
    <w:rsid w:val="00FA0C8A"/>
    <w:rsid w:val="00FA449C"/>
    <w:rsid w:val="00FA584E"/>
    <w:rsid w:val="00FB1338"/>
    <w:rsid w:val="00FB633B"/>
    <w:rsid w:val="00FC393F"/>
    <w:rsid w:val="00FD74A8"/>
    <w:rsid w:val="00FE3D09"/>
    <w:rsid w:val="00FE51C9"/>
    <w:rsid w:val="00FE783B"/>
    <w:rsid w:val="00FF0624"/>
    <w:rsid w:val="00FF2C80"/>
    <w:rsid w:val="00FF4762"/>
    <w:rsid w:val="00FF4D0A"/>
    <w:rsid w:val="00FF6EE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0B562"/>
  <w15:docId w15:val="{4B4A3503-50D6-4B93-A30E-D62D469C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70F"/>
    <w:rPr>
      <w:sz w:val="24"/>
      <w:szCs w:val="24"/>
    </w:rPr>
  </w:style>
  <w:style w:type="paragraph" w:styleId="Heading1">
    <w:name w:val="heading 1"/>
    <w:basedOn w:val="Normal"/>
    <w:next w:val="Normal"/>
    <w:qFormat/>
    <w:rsid w:val="00C3270F"/>
    <w:pPr>
      <w:keepNext/>
      <w:outlineLvl w:val="0"/>
    </w:pPr>
    <w:rPr>
      <w:u w:val="single"/>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3270F"/>
    <w:pPr>
      <w:ind w:firstLine="720"/>
      <w:jc w:val="both"/>
    </w:pPr>
    <w:rPr>
      <w:lang w:val="sr-Cyrl-CS"/>
    </w:rPr>
  </w:style>
  <w:style w:type="paragraph" w:styleId="BodyTextIndent2">
    <w:name w:val="Body Text Indent 2"/>
    <w:basedOn w:val="Normal"/>
    <w:rsid w:val="00C3270F"/>
    <w:pPr>
      <w:ind w:left="5760"/>
      <w:jc w:val="center"/>
    </w:pPr>
    <w:rPr>
      <w:lang w:val="sr-Cyrl-CS"/>
    </w:rPr>
  </w:style>
  <w:style w:type="paragraph" w:customStyle="1" w:styleId="rvps1">
    <w:name w:val="rvps1"/>
    <w:basedOn w:val="Normal"/>
    <w:rsid w:val="00BD34C2"/>
  </w:style>
  <w:style w:type="paragraph" w:customStyle="1" w:styleId="rvps6">
    <w:name w:val="rvps6"/>
    <w:basedOn w:val="Normal"/>
    <w:rsid w:val="00BD34C2"/>
    <w:pPr>
      <w:ind w:left="450" w:hanging="300"/>
    </w:pPr>
  </w:style>
  <w:style w:type="character" w:customStyle="1" w:styleId="rvts3">
    <w:name w:val="rvts3"/>
    <w:rsid w:val="00BD34C2"/>
    <w:rPr>
      <w:b w:val="0"/>
      <w:bCs w:val="0"/>
      <w:color w:val="000000"/>
      <w:sz w:val="20"/>
      <w:szCs w:val="20"/>
    </w:rPr>
  </w:style>
  <w:style w:type="character" w:customStyle="1" w:styleId="rvts12">
    <w:name w:val="rvts12"/>
    <w:rsid w:val="00BD34C2"/>
    <w:rPr>
      <w:color w:val="FF0000"/>
      <w:sz w:val="20"/>
      <w:szCs w:val="20"/>
    </w:rPr>
  </w:style>
  <w:style w:type="character" w:styleId="Hyperlink">
    <w:name w:val="Hyperlink"/>
    <w:uiPriority w:val="99"/>
    <w:unhideWhenUsed/>
    <w:rsid w:val="00D523B4"/>
    <w:rPr>
      <w:color w:val="0000FF"/>
      <w:u w:val="single"/>
    </w:rPr>
  </w:style>
  <w:style w:type="character" w:styleId="CommentReference">
    <w:name w:val="annotation reference"/>
    <w:uiPriority w:val="99"/>
    <w:semiHidden/>
    <w:unhideWhenUsed/>
    <w:rsid w:val="00D523B4"/>
    <w:rPr>
      <w:sz w:val="16"/>
      <w:szCs w:val="16"/>
    </w:rPr>
  </w:style>
  <w:style w:type="paragraph" w:styleId="CommentText">
    <w:name w:val="annotation text"/>
    <w:basedOn w:val="Normal"/>
    <w:link w:val="CommentTextChar"/>
    <w:uiPriority w:val="99"/>
    <w:semiHidden/>
    <w:unhideWhenUsed/>
    <w:rsid w:val="00D523B4"/>
    <w:rPr>
      <w:sz w:val="20"/>
      <w:szCs w:val="20"/>
    </w:rPr>
  </w:style>
  <w:style w:type="character" w:customStyle="1" w:styleId="CommentTextChar">
    <w:name w:val="Comment Text Char"/>
    <w:basedOn w:val="DefaultParagraphFont"/>
    <w:link w:val="CommentText"/>
    <w:uiPriority w:val="99"/>
    <w:semiHidden/>
    <w:rsid w:val="00D523B4"/>
  </w:style>
  <w:style w:type="paragraph" w:styleId="CommentSubject">
    <w:name w:val="annotation subject"/>
    <w:basedOn w:val="CommentText"/>
    <w:next w:val="CommentText"/>
    <w:link w:val="CommentSubjectChar"/>
    <w:uiPriority w:val="99"/>
    <w:semiHidden/>
    <w:unhideWhenUsed/>
    <w:rsid w:val="00D523B4"/>
    <w:rPr>
      <w:b/>
      <w:bCs/>
    </w:rPr>
  </w:style>
  <w:style w:type="character" w:customStyle="1" w:styleId="CommentSubjectChar">
    <w:name w:val="Comment Subject Char"/>
    <w:link w:val="CommentSubject"/>
    <w:uiPriority w:val="99"/>
    <w:semiHidden/>
    <w:rsid w:val="00D523B4"/>
    <w:rPr>
      <w:b/>
      <w:bCs/>
    </w:rPr>
  </w:style>
  <w:style w:type="paragraph" w:styleId="BalloonText">
    <w:name w:val="Balloon Text"/>
    <w:basedOn w:val="Normal"/>
    <w:link w:val="BalloonTextChar"/>
    <w:uiPriority w:val="99"/>
    <w:semiHidden/>
    <w:unhideWhenUsed/>
    <w:rsid w:val="00D523B4"/>
    <w:rPr>
      <w:rFonts w:ascii="Tahoma" w:hAnsi="Tahoma"/>
      <w:sz w:val="16"/>
      <w:szCs w:val="16"/>
    </w:rPr>
  </w:style>
  <w:style w:type="character" w:customStyle="1" w:styleId="BalloonTextChar">
    <w:name w:val="Balloon Text Char"/>
    <w:link w:val="BalloonText"/>
    <w:uiPriority w:val="99"/>
    <w:semiHidden/>
    <w:rsid w:val="00D523B4"/>
    <w:rPr>
      <w:rFonts w:ascii="Tahoma" w:hAnsi="Tahoma" w:cs="Tahoma"/>
      <w:sz w:val="16"/>
      <w:szCs w:val="16"/>
    </w:rPr>
  </w:style>
  <w:style w:type="paragraph" w:customStyle="1" w:styleId="Blockquote">
    <w:name w:val="Blockquote"/>
    <w:basedOn w:val="Normal"/>
    <w:rsid w:val="00997CCB"/>
    <w:pPr>
      <w:snapToGrid w:val="0"/>
      <w:spacing w:before="100" w:after="100"/>
      <w:ind w:left="360" w:right="360"/>
    </w:pPr>
    <w:rPr>
      <w:rFonts w:eastAsiaTheme="minorHAnsi"/>
    </w:rPr>
  </w:style>
  <w:style w:type="table" w:styleId="TableGrid">
    <w:name w:val="Table Grid"/>
    <w:basedOn w:val="TableNormal"/>
    <w:uiPriority w:val="59"/>
    <w:rsid w:val="00020F4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uiPriority w:val="20"/>
    <w:qFormat/>
    <w:rsid w:val="00740B9B"/>
    <w:rPr>
      <w:i/>
    </w:rPr>
  </w:style>
  <w:style w:type="character" w:styleId="Strong">
    <w:name w:val="Strong"/>
    <w:qFormat/>
    <w:rsid w:val="00740B9B"/>
    <w:rPr>
      <w:b/>
    </w:rPr>
  </w:style>
  <w:style w:type="paragraph" w:customStyle="1" w:styleId="Default">
    <w:name w:val="Default"/>
    <w:basedOn w:val="Normal"/>
    <w:rsid w:val="002C38B8"/>
    <w:pPr>
      <w:autoSpaceDE w:val="0"/>
      <w:autoSpaceDN w:val="0"/>
    </w:pPr>
    <w:rPr>
      <w:rFonts w:eastAsiaTheme="minorHAnsi"/>
      <w:color w:val="000000"/>
    </w:rPr>
  </w:style>
  <w:style w:type="paragraph" w:styleId="PlainText">
    <w:name w:val="Plain Text"/>
    <w:basedOn w:val="Normal"/>
    <w:link w:val="PlainTextChar"/>
    <w:uiPriority w:val="99"/>
    <w:unhideWhenUsed/>
    <w:rsid w:val="00D35CEB"/>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35CEB"/>
    <w:rPr>
      <w:rFonts w:ascii="Calibri" w:eastAsiaTheme="minorHAnsi" w:hAnsi="Calibri" w:cs="Consolas"/>
      <w:sz w:val="22"/>
      <w:szCs w:val="21"/>
    </w:rPr>
  </w:style>
  <w:style w:type="paragraph" w:styleId="Header">
    <w:name w:val="header"/>
    <w:basedOn w:val="Normal"/>
    <w:link w:val="HeaderChar"/>
    <w:uiPriority w:val="99"/>
    <w:unhideWhenUsed/>
    <w:rsid w:val="00345E95"/>
    <w:pPr>
      <w:tabs>
        <w:tab w:val="center" w:pos="4680"/>
        <w:tab w:val="right" w:pos="9360"/>
      </w:tabs>
    </w:pPr>
  </w:style>
  <w:style w:type="character" w:customStyle="1" w:styleId="HeaderChar">
    <w:name w:val="Header Char"/>
    <w:basedOn w:val="DefaultParagraphFont"/>
    <w:link w:val="Header"/>
    <w:uiPriority w:val="99"/>
    <w:rsid w:val="00345E95"/>
    <w:rPr>
      <w:sz w:val="24"/>
      <w:szCs w:val="24"/>
    </w:rPr>
  </w:style>
  <w:style w:type="paragraph" w:styleId="Footer">
    <w:name w:val="footer"/>
    <w:basedOn w:val="Normal"/>
    <w:link w:val="FooterChar"/>
    <w:uiPriority w:val="99"/>
    <w:unhideWhenUsed/>
    <w:rsid w:val="00345E95"/>
    <w:pPr>
      <w:tabs>
        <w:tab w:val="center" w:pos="4680"/>
        <w:tab w:val="right" w:pos="9360"/>
      </w:tabs>
    </w:pPr>
  </w:style>
  <w:style w:type="character" w:customStyle="1" w:styleId="FooterChar">
    <w:name w:val="Footer Char"/>
    <w:basedOn w:val="DefaultParagraphFont"/>
    <w:link w:val="Footer"/>
    <w:uiPriority w:val="99"/>
    <w:rsid w:val="00345E95"/>
    <w:rPr>
      <w:sz w:val="24"/>
      <w:szCs w:val="24"/>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uiPriority w:val="99"/>
    <w:unhideWhenUsed/>
    <w:qFormat/>
    <w:rsid w:val="006D2BD0"/>
    <w:rPr>
      <w:sz w:val="20"/>
      <w:szCs w:val="20"/>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6D2BD0"/>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basedOn w:val="DefaultParagraphFont"/>
    <w:unhideWhenUsed/>
    <w:qFormat/>
    <w:rsid w:val="006D2BD0"/>
    <w:rPr>
      <w:vertAlign w:val="superscript"/>
    </w:rPr>
  </w:style>
  <w:style w:type="paragraph" w:styleId="EndnoteText">
    <w:name w:val="endnote text"/>
    <w:basedOn w:val="Normal"/>
    <w:link w:val="EndnoteTextChar"/>
    <w:uiPriority w:val="99"/>
    <w:semiHidden/>
    <w:unhideWhenUsed/>
    <w:rsid w:val="004E5527"/>
    <w:pPr>
      <w:spacing w:after="240"/>
    </w:pPr>
    <w:rPr>
      <w:rFonts w:ascii="Arial" w:eastAsiaTheme="minorHAnsi" w:hAnsi="Arial" w:cs="Arial"/>
      <w:sz w:val="20"/>
      <w:szCs w:val="20"/>
      <w:lang w:eastAsia="x-none"/>
    </w:rPr>
  </w:style>
  <w:style w:type="character" w:customStyle="1" w:styleId="EndnoteTextChar">
    <w:name w:val="Endnote Text Char"/>
    <w:basedOn w:val="DefaultParagraphFont"/>
    <w:link w:val="EndnoteText"/>
    <w:uiPriority w:val="99"/>
    <w:semiHidden/>
    <w:rsid w:val="004E5527"/>
    <w:rPr>
      <w:rFonts w:ascii="Arial" w:eastAsiaTheme="minorHAnsi" w:hAnsi="Arial" w:cs="Arial"/>
      <w:lang w:eastAsia="x-none"/>
    </w:rPr>
  </w:style>
  <w:style w:type="character" w:styleId="EndnoteReference">
    <w:name w:val="endnote reference"/>
    <w:basedOn w:val="DefaultParagraphFont"/>
    <w:uiPriority w:val="99"/>
    <w:semiHidden/>
    <w:unhideWhenUsed/>
    <w:rsid w:val="004E5527"/>
    <w:rPr>
      <w:vertAlign w:val="superscript"/>
    </w:rPr>
  </w:style>
  <w:style w:type="character" w:customStyle="1" w:styleId="FontStyle11">
    <w:name w:val="Font Style11"/>
    <w:uiPriority w:val="99"/>
    <w:rsid w:val="00E0109C"/>
    <w:rPr>
      <w:rFonts w:ascii="Times New Roman" w:hAnsi="Times New Roman" w:cs="Times New Roman"/>
      <w:sz w:val="22"/>
      <w:szCs w:val="22"/>
    </w:rPr>
  </w:style>
  <w:style w:type="paragraph" w:styleId="NormalWeb">
    <w:name w:val="Normal (Web)"/>
    <w:basedOn w:val="Normal"/>
    <w:uiPriority w:val="99"/>
    <w:unhideWhenUsed/>
    <w:rsid w:val="00FF0624"/>
    <w:pPr>
      <w:spacing w:before="100" w:beforeAutospacing="1" w:after="100" w:afterAutospacing="1"/>
    </w:pPr>
    <w:rPr>
      <w:rFonts w:eastAsiaTheme="minorHAnsi"/>
    </w:rPr>
  </w:style>
  <w:style w:type="paragraph" w:styleId="BodyText">
    <w:name w:val="Body Text"/>
    <w:basedOn w:val="Normal"/>
    <w:link w:val="BodyTextChar"/>
    <w:uiPriority w:val="99"/>
    <w:unhideWhenUsed/>
    <w:rsid w:val="000B70E0"/>
    <w:pPr>
      <w:spacing w:after="120"/>
    </w:pPr>
  </w:style>
  <w:style w:type="character" w:customStyle="1" w:styleId="BodyTextChar">
    <w:name w:val="Body Text Char"/>
    <w:basedOn w:val="DefaultParagraphFont"/>
    <w:link w:val="BodyText"/>
    <w:uiPriority w:val="99"/>
    <w:rsid w:val="000B70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5089">
      <w:bodyDiv w:val="1"/>
      <w:marLeft w:val="0"/>
      <w:marRight w:val="0"/>
      <w:marTop w:val="0"/>
      <w:marBottom w:val="0"/>
      <w:divBdr>
        <w:top w:val="none" w:sz="0" w:space="0" w:color="auto"/>
        <w:left w:val="none" w:sz="0" w:space="0" w:color="auto"/>
        <w:bottom w:val="none" w:sz="0" w:space="0" w:color="auto"/>
        <w:right w:val="none" w:sz="0" w:space="0" w:color="auto"/>
      </w:divBdr>
    </w:div>
    <w:div w:id="153573250">
      <w:bodyDiv w:val="1"/>
      <w:marLeft w:val="0"/>
      <w:marRight w:val="0"/>
      <w:marTop w:val="0"/>
      <w:marBottom w:val="0"/>
      <w:divBdr>
        <w:top w:val="none" w:sz="0" w:space="0" w:color="auto"/>
        <w:left w:val="none" w:sz="0" w:space="0" w:color="auto"/>
        <w:bottom w:val="none" w:sz="0" w:space="0" w:color="auto"/>
        <w:right w:val="none" w:sz="0" w:space="0" w:color="auto"/>
      </w:divBdr>
    </w:div>
    <w:div w:id="402719384">
      <w:bodyDiv w:val="1"/>
      <w:marLeft w:val="0"/>
      <w:marRight w:val="0"/>
      <w:marTop w:val="0"/>
      <w:marBottom w:val="0"/>
      <w:divBdr>
        <w:top w:val="none" w:sz="0" w:space="0" w:color="auto"/>
        <w:left w:val="none" w:sz="0" w:space="0" w:color="auto"/>
        <w:bottom w:val="none" w:sz="0" w:space="0" w:color="auto"/>
        <w:right w:val="none" w:sz="0" w:space="0" w:color="auto"/>
      </w:divBdr>
    </w:div>
    <w:div w:id="479008503">
      <w:bodyDiv w:val="1"/>
      <w:marLeft w:val="0"/>
      <w:marRight w:val="0"/>
      <w:marTop w:val="0"/>
      <w:marBottom w:val="0"/>
      <w:divBdr>
        <w:top w:val="none" w:sz="0" w:space="0" w:color="auto"/>
        <w:left w:val="none" w:sz="0" w:space="0" w:color="auto"/>
        <w:bottom w:val="none" w:sz="0" w:space="0" w:color="auto"/>
        <w:right w:val="none" w:sz="0" w:space="0" w:color="auto"/>
      </w:divBdr>
    </w:div>
    <w:div w:id="509684309">
      <w:bodyDiv w:val="1"/>
      <w:marLeft w:val="0"/>
      <w:marRight w:val="0"/>
      <w:marTop w:val="0"/>
      <w:marBottom w:val="0"/>
      <w:divBdr>
        <w:top w:val="none" w:sz="0" w:space="0" w:color="auto"/>
        <w:left w:val="none" w:sz="0" w:space="0" w:color="auto"/>
        <w:bottom w:val="none" w:sz="0" w:space="0" w:color="auto"/>
        <w:right w:val="none" w:sz="0" w:space="0" w:color="auto"/>
      </w:divBdr>
      <w:divsChild>
        <w:div w:id="1588727633">
          <w:marLeft w:val="-7500"/>
          <w:marRight w:val="0"/>
          <w:marTop w:val="0"/>
          <w:marBottom w:val="0"/>
          <w:divBdr>
            <w:top w:val="single" w:sz="6" w:space="0" w:color="DDDDDD"/>
            <w:left w:val="single" w:sz="6" w:space="0" w:color="DDDDDD"/>
            <w:bottom w:val="single" w:sz="6" w:space="0" w:color="DDDDDD"/>
            <w:right w:val="single" w:sz="6" w:space="0" w:color="DDDDDD"/>
          </w:divBdr>
          <w:divsChild>
            <w:div w:id="663049931">
              <w:marLeft w:val="0"/>
              <w:marRight w:val="0"/>
              <w:marTop w:val="0"/>
              <w:marBottom w:val="0"/>
              <w:divBdr>
                <w:top w:val="none" w:sz="0" w:space="0" w:color="auto"/>
                <w:left w:val="none" w:sz="0" w:space="0" w:color="auto"/>
                <w:bottom w:val="none" w:sz="0" w:space="0" w:color="auto"/>
                <w:right w:val="none" w:sz="0" w:space="0" w:color="auto"/>
              </w:divBdr>
              <w:divsChild>
                <w:div w:id="189781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53751">
      <w:bodyDiv w:val="1"/>
      <w:marLeft w:val="0"/>
      <w:marRight w:val="0"/>
      <w:marTop w:val="0"/>
      <w:marBottom w:val="0"/>
      <w:divBdr>
        <w:top w:val="none" w:sz="0" w:space="0" w:color="auto"/>
        <w:left w:val="none" w:sz="0" w:space="0" w:color="auto"/>
        <w:bottom w:val="none" w:sz="0" w:space="0" w:color="auto"/>
        <w:right w:val="none" w:sz="0" w:space="0" w:color="auto"/>
      </w:divBdr>
    </w:div>
    <w:div w:id="929000122">
      <w:bodyDiv w:val="1"/>
      <w:marLeft w:val="0"/>
      <w:marRight w:val="0"/>
      <w:marTop w:val="0"/>
      <w:marBottom w:val="0"/>
      <w:divBdr>
        <w:top w:val="none" w:sz="0" w:space="0" w:color="auto"/>
        <w:left w:val="none" w:sz="0" w:space="0" w:color="auto"/>
        <w:bottom w:val="none" w:sz="0" w:space="0" w:color="auto"/>
        <w:right w:val="none" w:sz="0" w:space="0" w:color="auto"/>
      </w:divBdr>
    </w:div>
    <w:div w:id="964311109">
      <w:bodyDiv w:val="1"/>
      <w:marLeft w:val="0"/>
      <w:marRight w:val="0"/>
      <w:marTop w:val="0"/>
      <w:marBottom w:val="0"/>
      <w:divBdr>
        <w:top w:val="none" w:sz="0" w:space="0" w:color="auto"/>
        <w:left w:val="none" w:sz="0" w:space="0" w:color="auto"/>
        <w:bottom w:val="none" w:sz="0" w:space="0" w:color="auto"/>
        <w:right w:val="none" w:sz="0" w:space="0" w:color="auto"/>
      </w:divBdr>
    </w:div>
    <w:div w:id="1028876552">
      <w:bodyDiv w:val="1"/>
      <w:marLeft w:val="0"/>
      <w:marRight w:val="0"/>
      <w:marTop w:val="0"/>
      <w:marBottom w:val="0"/>
      <w:divBdr>
        <w:top w:val="none" w:sz="0" w:space="0" w:color="auto"/>
        <w:left w:val="none" w:sz="0" w:space="0" w:color="auto"/>
        <w:bottom w:val="none" w:sz="0" w:space="0" w:color="auto"/>
        <w:right w:val="none" w:sz="0" w:space="0" w:color="auto"/>
      </w:divBdr>
      <w:divsChild>
        <w:div w:id="1468623654">
          <w:marLeft w:val="-7500"/>
          <w:marRight w:val="0"/>
          <w:marTop w:val="0"/>
          <w:marBottom w:val="0"/>
          <w:divBdr>
            <w:top w:val="single" w:sz="6" w:space="0" w:color="DDDDDD"/>
            <w:left w:val="single" w:sz="6" w:space="0" w:color="DDDDDD"/>
            <w:bottom w:val="single" w:sz="6" w:space="0" w:color="DDDDDD"/>
            <w:right w:val="single" w:sz="6" w:space="0" w:color="DDDDDD"/>
          </w:divBdr>
          <w:divsChild>
            <w:div w:id="263657783">
              <w:marLeft w:val="0"/>
              <w:marRight w:val="0"/>
              <w:marTop w:val="0"/>
              <w:marBottom w:val="0"/>
              <w:divBdr>
                <w:top w:val="none" w:sz="0" w:space="0" w:color="auto"/>
                <w:left w:val="none" w:sz="0" w:space="0" w:color="auto"/>
                <w:bottom w:val="none" w:sz="0" w:space="0" w:color="auto"/>
                <w:right w:val="none" w:sz="0" w:space="0" w:color="auto"/>
              </w:divBdr>
              <w:divsChild>
                <w:div w:id="16851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5388">
      <w:bodyDiv w:val="1"/>
      <w:marLeft w:val="0"/>
      <w:marRight w:val="0"/>
      <w:marTop w:val="0"/>
      <w:marBottom w:val="0"/>
      <w:divBdr>
        <w:top w:val="none" w:sz="0" w:space="0" w:color="auto"/>
        <w:left w:val="none" w:sz="0" w:space="0" w:color="auto"/>
        <w:bottom w:val="none" w:sz="0" w:space="0" w:color="auto"/>
        <w:right w:val="none" w:sz="0" w:space="0" w:color="auto"/>
      </w:divBdr>
    </w:div>
    <w:div w:id="1177111222">
      <w:bodyDiv w:val="1"/>
      <w:marLeft w:val="0"/>
      <w:marRight w:val="0"/>
      <w:marTop w:val="0"/>
      <w:marBottom w:val="0"/>
      <w:divBdr>
        <w:top w:val="none" w:sz="0" w:space="0" w:color="auto"/>
        <w:left w:val="none" w:sz="0" w:space="0" w:color="auto"/>
        <w:bottom w:val="none" w:sz="0" w:space="0" w:color="auto"/>
        <w:right w:val="none" w:sz="0" w:space="0" w:color="auto"/>
      </w:divBdr>
    </w:div>
    <w:div w:id="1191188460">
      <w:bodyDiv w:val="1"/>
      <w:marLeft w:val="0"/>
      <w:marRight w:val="0"/>
      <w:marTop w:val="0"/>
      <w:marBottom w:val="0"/>
      <w:divBdr>
        <w:top w:val="none" w:sz="0" w:space="0" w:color="auto"/>
        <w:left w:val="none" w:sz="0" w:space="0" w:color="auto"/>
        <w:bottom w:val="none" w:sz="0" w:space="0" w:color="auto"/>
        <w:right w:val="none" w:sz="0" w:space="0" w:color="auto"/>
      </w:divBdr>
    </w:div>
    <w:div w:id="1327440899">
      <w:bodyDiv w:val="1"/>
      <w:marLeft w:val="0"/>
      <w:marRight w:val="0"/>
      <w:marTop w:val="0"/>
      <w:marBottom w:val="0"/>
      <w:divBdr>
        <w:top w:val="none" w:sz="0" w:space="0" w:color="auto"/>
        <w:left w:val="none" w:sz="0" w:space="0" w:color="auto"/>
        <w:bottom w:val="none" w:sz="0" w:space="0" w:color="auto"/>
        <w:right w:val="none" w:sz="0" w:space="0" w:color="auto"/>
      </w:divBdr>
    </w:div>
    <w:div w:id="1342852178">
      <w:bodyDiv w:val="1"/>
      <w:marLeft w:val="0"/>
      <w:marRight w:val="0"/>
      <w:marTop w:val="0"/>
      <w:marBottom w:val="0"/>
      <w:divBdr>
        <w:top w:val="none" w:sz="0" w:space="0" w:color="auto"/>
        <w:left w:val="none" w:sz="0" w:space="0" w:color="auto"/>
        <w:bottom w:val="none" w:sz="0" w:space="0" w:color="auto"/>
        <w:right w:val="none" w:sz="0" w:space="0" w:color="auto"/>
      </w:divBdr>
    </w:div>
    <w:div w:id="1498501283">
      <w:bodyDiv w:val="1"/>
      <w:marLeft w:val="0"/>
      <w:marRight w:val="0"/>
      <w:marTop w:val="0"/>
      <w:marBottom w:val="0"/>
      <w:divBdr>
        <w:top w:val="none" w:sz="0" w:space="0" w:color="auto"/>
        <w:left w:val="none" w:sz="0" w:space="0" w:color="auto"/>
        <w:bottom w:val="none" w:sz="0" w:space="0" w:color="auto"/>
        <w:right w:val="none" w:sz="0" w:space="0" w:color="auto"/>
      </w:divBdr>
    </w:div>
    <w:div w:id="1905095594">
      <w:bodyDiv w:val="1"/>
      <w:marLeft w:val="0"/>
      <w:marRight w:val="0"/>
      <w:marTop w:val="0"/>
      <w:marBottom w:val="0"/>
      <w:divBdr>
        <w:top w:val="none" w:sz="0" w:space="0" w:color="auto"/>
        <w:left w:val="none" w:sz="0" w:space="0" w:color="auto"/>
        <w:bottom w:val="none" w:sz="0" w:space="0" w:color="auto"/>
        <w:right w:val="none" w:sz="0" w:space="0" w:color="auto"/>
      </w:divBdr>
    </w:div>
    <w:div w:id="1960258227">
      <w:bodyDiv w:val="1"/>
      <w:marLeft w:val="0"/>
      <w:marRight w:val="0"/>
      <w:marTop w:val="0"/>
      <w:marBottom w:val="0"/>
      <w:divBdr>
        <w:top w:val="none" w:sz="0" w:space="0" w:color="auto"/>
        <w:left w:val="none" w:sz="0" w:space="0" w:color="auto"/>
        <w:bottom w:val="none" w:sz="0" w:space="0" w:color="auto"/>
        <w:right w:val="none" w:sz="0" w:space="0" w:color="auto"/>
      </w:divBdr>
    </w:div>
    <w:div w:id="1964267240">
      <w:bodyDiv w:val="1"/>
      <w:marLeft w:val="0"/>
      <w:marRight w:val="0"/>
      <w:marTop w:val="0"/>
      <w:marBottom w:val="0"/>
      <w:divBdr>
        <w:top w:val="none" w:sz="0" w:space="0" w:color="auto"/>
        <w:left w:val="none" w:sz="0" w:space="0" w:color="auto"/>
        <w:bottom w:val="none" w:sz="0" w:space="0" w:color="auto"/>
        <w:right w:val="none" w:sz="0" w:space="0" w:color="auto"/>
      </w:divBdr>
    </w:div>
    <w:div w:id="1972978605">
      <w:bodyDiv w:val="1"/>
      <w:marLeft w:val="0"/>
      <w:marRight w:val="0"/>
      <w:marTop w:val="0"/>
      <w:marBottom w:val="0"/>
      <w:divBdr>
        <w:top w:val="none" w:sz="0" w:space="0" w:color="auto"/>
        <w:left w:val="none" w:sz="0" w:space="0" w:color="auto"/>
        <w:bottom w:val="none" w:sz="0" w:space="0" w:color="auto"/>
        <w:right w:val="none" w:sz="0" w:space="0" w:color="auto"/>
      </w:divBdr>
    </w:div>
    <w:div w:id="1989479704">
      <w:bodyDiv w:val="1"/>
      <w:marLeft w:val="0"/>
      <w:marRight w:val="0"/>
      <w:marTop w:val="0"/>
      <w:marBottom w:val="0"/>
      <w:divBdr>
        <w:top w:val="none" w:sz="0" w:space="0" w:color="auto"/>
        <w:left w:val="none" w:sz="0" w:space="0" w:color="auto"/>
        <w:bottom w:val="none" w:sz="0" w:space="0" w:color="auto"/>
        <w:right w:val="none" w:sz="0" w:space="0" w:color="auto"/>
      </w:divBdr>
      <w:divsChild>
        <w:div w:id="1725762484">
          <w:marLeft w:val="-7500"/>
          <w:marRight w:val="0"/>
          <w:marTop w:val="0"/>
          <w:marBottom w:val="0"/>
          <w:divBdr>
            <w:top w:val="single" w:sz="6" w:space="0" w:color="DDDDDD"/>
            <w:left w:val="single" w:sz="6" w:space="0" w:color="DDDDDD"/>
            <w:bottom w:val="single" w:sz="6" w:space="0" w:color="DDDDDD"/>
            <w:right w:val="single" w:sz="6" w:space="0" w:color="DDDDDD"/>
          </w:divBdr>
          <w:divsChild>
            <w:div w:id="1881938505">
              <w:marLeft w:val="0"/>
              <w:marRight w:val="0"/>
              <w:marTop w:val="0"/>
              <w:marBottom w:val="0"/>
              <w:divBdr>
                <w:top w:val="none" w:sz="0" w:space="0" w:color="auto"/>
                <w:left w:val="none" w:sz="0" w:space="0" w:color="auto"/>
                <w:bottom w:val="none" w:sz="0" w:space="0" w:color="auto"/>
                <w:right w:val="none" w:sz="0" w:space="0" w:color="auto"/>
              </w:divBdr>
              <w:divsChild>
                <w:div w:id="6478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2587">
      <w:bodyDiv w:val="1"/>
      <w:marLeft w:val="0"/>
      <w:marRight w:val="0"/>
      <w:marTop w:val="0"/>
      <w:marBottom w:val="0"/>
      <w:divBdr>
        <w:top w:val="none" w:sz="0" w:space="0" w:color="auto"/>
        <w:left w:val="none" w:sz="0" w:space="0" w:color="auto"/>
        <w:bottom w:val="none" w:sz="0" w:space="0" w:color="auto"/>
        <w:right w:val="none" w:sz="0" w:space="0" w:color="auto"/>
      </w:divBdr>
    </w:div>
    <w:div w:id="2100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A691A-A4D9-4972-8C04-3876A1AE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Nikolic</dc:creator>
  <cp:lastModifiedBy>Jovana Jovčić</cp:lastModifiedBy>
  <cp:revision>2</cp:revision>
  <cp:lastPrinted>2021-08-18T09:44:00Z</cp:lastPrinted>
  <dcterms:created xsi:type="dcterms:W3CDTF">2021-08-18T11:19:00Z</dcterms:created>
  <dcterms:modified xsi:type="dcterms:W3CDTF">2021-08-18T11:19:00Z</dcterms:modified>
</cp:coreProperties>
</file>