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8E" w:rsidRPr="00487A6F" w:rsidRDefault="0062068D">
      <w:pPr>
        <w:spacing w:before="0"/>
        <w:jc w:val="center"/>
        <w:rPr>
          <w:b/>
          <w:sz w:val="22"/>
          <w:szCs w:val="22"/>
          <w:lang w:val="en-GB"/>
        </w:rPr>
      </w:pPr>
      <w:r>
        <w:rPr>
          <w:noProof/>
          <w:snapToGrid/>
          <w:sz w:val="22"/>
          <w:szCs w:val="22"/>
        </w:rPr>
        <w:pict>
          <v:line id="_x0000_s1026" style="position:absolute;left:0;text-align:left;z-index:251657216" from="7.2pt,12.95pt" to="475.2pt,13pt" o:allowincell="f" strokecolor="#d4d4d4" strokeweight="1.75pt">
            <v:shadow on="t" origin=",32385f" offset="0,-1pt"/>
          </v:line>
        </w:pict>
      </w:r>
    </w:p>
    <w:p w:rsidR="00CB578E" w:rsidRPr="003B22D5" w:rsidRDefault="00CB578E">
      <w:pPr>
        <w:spacing w:before="0"/>
        <w:jc w:val="center"/>
        <w:rPr>
          <w:b/>
          <w:sz w:val="32"/>
          <w:szCs w:val="32"/>
          <w:lang w:val="en-GB"/>
        </w:rPr>
      </w:pPr>
      <w:r w:rsidRPr="003B22D5">
        <w:rPr>
          <w:b/>
          <w:sz w:val="32"/>
          <w:szCs w:val="32"/>
          <w:lang w:val="en-GB"/>
        </w:rPr>
        <w:t xml:space="preserve">WORKS CONTRACT </w:t>
      </w:r>
      <w:r w:rsidR="00607ED1" w:rsidRPr="003B22D5">
        <w:rPr>
          <w:b/>
          <w:sz w:val="32"/>
          <w:szCs w:val="32"/>
          <w:lang w:val="en-GB"/>
        </w:rPr>
        <w:t>PRIOR INFORMATION NOTICE</w:t>
      </w:r>
    </w:p>
    <w:p w:rsidR="005C157E" w:rsidRPr="00363A88" w:rsidRDefault="005C157E" w:rsidP="005C157E">
      <w:pPr>
        <w:spacing w:before="120" w:after="240"/>
        <w:jc w:val="center"/>
        <w:rPr>
          <w:rStyle w:val="Strong"/>
          <w:sz w:val="28"/>
          <w:szCs w:val="28"/>
        </w:rPr>
      </w:pPr>
      <w:r w:rsidRPr="00B45F38">
        <w:rPr>
          <w:b/>
          <w:color w:val="000000"/>
          <w:sz w:val="28"/>
          <w:szCs w:val="28"/>
          <w:shd w:val="clear" w:color="auto" w:fill="FFFFFF"/>
        </w:rPr>
        <w:t xml:space="preserve">Construction of </w:t>
      </w:r>
      <w:r>
        <w:rPr>
          <w:b/>
          <w:color w:val="000000"/>
          <w:sz w:val="28"/>
          <w:szCs w:val="28"/>
          <w:shd w:val="clear" w:color="auto" w:fill="FFFFFF"/>
        </w:rPr>
        <w:t>M</w:t>
      </w:r>
      <w:r w:rsidRPr="00B45F38">
        <w:rPr>
          <w:b/>
          <w:color w:val="000000"/>
          <w:sz w:val="28"/>
          <w:szCs w:val="28"/>
          <w:shd w:val="clear" w:color="auto" w:fill="FFFFFF"/>
        </w:rPr>
        <w:t>unicipal</w:t>
      </w:r>
      <w:r w:rsidRPr="00B45F38">
        <w:rPr>
          <w:color w:val="000000"/>
          <w:sz w:val="28"/>
          <w:szCs w:val="28"/>
          <w:shd w:val="clear" w:color="auto" w:fill="FFFFFF"/>
        </w:rPr>
        <w:t xml:space="preserve"> </w:t>
      </w:r>
      <w:r w:rsidRPr="00B45F38">
        <w:rPr>
          <w:rStyle w:val="Strong"/>
          <w:sz w:val="28"/>
          <w:szCs w:val="28"/>
        </w:rPr>
        <w:t>Wastewater</w:t>
      </w:r>
      <w:r w:rsidRPr="00D45270">
        <w:rPr>
          <w:rStyle w:val="Strong"/>
          <w:sz w:val="28"/>
          <w:szCs w:val="28"/>
        </w:rPr>
        <w:t xml:space="preserve"> </w:t>
      </w:r>
      <w:r w:rsidR="00A53F01" w:rsidRPr="00D45270">
        <w:rPr>
          <w:rStyle w:val="Strong"/>
          <w:sz w:val="28"/>
          <w:szCs w:val="28"/>
        </w:rPr>
        <w:t xml:space="preserve">Treatment and </w:t>
      </w:r>
      <w:r w:rsidRPr="00D45270">
        <w:rPr>
          <w:rStyle w:val="Strong"/>
          <w:sz w:val="28"/>
          <w:szCs w:val="28"/>
        </w:rPr>
        <w:t xml:space="preserve">Collection </w:t>
      </w:r>
      <w:r>
        <w:rPr>
          <w:rStyle w:val="Strong"/>
          <w:sz w:val="28"/>
          <w:szCs w:val="28"/>
        </w:rPr>
        <w:t>System</w:t>
      </w:r>
      <w:r w:rsidRPr="00D45270">
        <w:rPr>
          <w:rStyle w:val="Strong"/>
          <w:sz w:val="28"/>
          <w:szCs w:val="28"/>
        </w:rPr>
        <w:t xml:space="preserve"> </w:t>
      </w:r>
      <w:r>
        <w:rPr>
          <w:rStyle w:val="Strong"/>
          <w:sz w:val="28"/>
          <w:szCs w:val="28"/>
        </w:rPr>
        <w:t>in</w:t>
      </w:r>
      <w:r w:rsidRPr="00D45270">
        <w:rPr>
          <w:rStyle w:val="Strong"/>
          <w:sz w:val="28"/>
          <w:szCs w:val="28"/>
        </w:rPr>
        <w:t xml:space="preserve"> </w:t>
      </w:r>
      <w:r w:rsidRPr="008B38E8">
        <w:rPr>
          <w:rStyle w:val="Strong"/>
          <w:sz w:val="28"/>
          <w:szCs w:val="28"/>
        </w:rPr>
        <w:t>Niš</w:t>
      </w:r>
      <w:r w:rsidRPr="00363A88">
        <w:rPr>
          <w:rStyle w:val="Strong"/>
          <w:sz w:val="28"/>
          <w:szCs w:val="28"/>
        </w:rPr>
        <w:t xml:space="preserve"> </w:t>
      </w:r>
    </w:p>
    <w:p w:rsidR="005C157E" w:rsidRPr="00F74BDE" w:rsidRDefault="005C157E" w:rsidP="005C157E">
      <w:pPr>
        <w:spacing w:before="240" w:after="360"/>
        <w:ind w:left="720" w:firstLine="720"/>
        <w:rPr>
          <w:rStyle w:val="Strong"/>
          <w:sz w:val="28"/>
          <w:szCs w:val="28"/>
        </w:rPr>
      </w:pPr>
      <w:r>
        <w:rPr>
          <w:rStyle w:val="Strong"/>
          <w:sz w:val="28"/>
          <w:szCs w:val="28"/>
        </w:rPr>
        <w:t xml:space="preserve">                   </w:t>
      </w:r>
      <w:r w:rsidRPr="00063DBC">
        <w:rPr>
          <w:rStyle w:val="Strong"/>
          <w:sz w:val="28"/>
          <w:szCs w:val="28"/>
        </w:rPr>
        <w:t xml:space="preserve">Location - </w:t>
      </w:r>
      <w:r>
        <w:rPr>
          <w:rStyle w:val="Strong"/>
          <w:sz w:val="28"/>
          <w:szCs w:val="28"/>
        </w:rPr>
        <w:t>Republic of Serbia</w:t>
      </w:r>
    </w:p>
    <w:p w:rsidR="00CB578E" w:rsidRPr="00487A6F" w:rsidRDefault="00CB578E" w:rsidP="00BC72C3">
      <w:pPr>
        <w:pStyle w:val="PRAGHeading2"/>
        <w:tabs>
          <w:tab w:val="clear" w:pos="1134"/>
          <w:tab w:val="left" w:pos="709"/>
        </w:tabs>
        <w:spacing w:before="480"/>
        <w:ind w:left="709" w:hanging="284"/>
        <w:rPr>
          <w:rStyle w:val="Strong"/>
          <w:sz w:val="22"/>
          <w:szCs w:val="22"/>
          <w:lang w:val="en-GB"/>
        </w:rPr>
      </w:pPr>
      <w:r w:rsidRPr="00487A6F">
        <w:rPr>
          <w:rStyle w:val="Strong"/>
          <w:sz w:val="22"/>
          <w:szCs w:val="22"/>
          <w:lang w:val="en-GB"/>
        </w:rPr>
        <w:t>Publication reference</w:t>
      </w:r>
    </w:p>
    <w:p w:rsidR="00B61D05" w:rsidRPr="00B61D05" w:rsidRDefault="00B61D05" w:rsidP="0062068D">
      <w:pPr>
        <w:widowControl/>
        <w:spacing w:before="0" w:after="0"/>
        <w:ind w:firstLine="426"/>
        <w:rPr>
          <w:rFonts w:ascii="Calibri" w:hAnsi="Calibri" w:cs="Calibri"/>
          <w:snapToGrid/>
          <w:color w:val="000000"/>
          <w:sz w:val="28"/>
          <w:szCs w:val="28"/>
          <w:lang w:val="fr-FR" w:eastAsia="fr-FR"/>
        </w:rPr>
      </w:pPr>
      <w:bookmarkStart w:id="0" w:name="_GoBack"/>
      <w:bookmarkEnd w:id="0"/>
      <w:r w:rsidRPr="00B61D05">
        <w:rPr>
          <w:rFonts w:ascii="Calibri" w:hAnsi="Calibri" w:cs="Calibri"/>
          <w:snapToGrid/>
          <w:color w:val="000000"/>
          <w:sz w:val="28"/>
          <w:szCs w:val="28"/>
          <w:lang w:val="fr-FR" w:eastAsia="fr-FR"/>
        </w:rPr>
        <w:t>EuropeAid/140929/IH/WKS/RS</w:t>
      </w:r>
    </w:p>
    <w:p w:rsidR="00CB578E" w:rsidRPr="005050A7" w:rsidRDefault="00CB578E" w:rsidP="005050A7">
      <w:pPr>
        <w:ind w:left="709"/>
        <w:rPr>
          <w:sz w:val="22"/>
          <w:szCs w:val="22"/>
        </w:rPr>
      </w:pPr>
    </w:p>
    <w:p w:rsidR="00CB578E" w:rsidRPr="00487A6F" w:rsidRDefault="00CB578E" w:rsidP="005050A7">
      <w:pPr>
        <w:pStyle w:val="PRAGHeading2"/>
        <w:tabs>
          <w:tab w:val="clear" w:pos="1134"/>
          <w:tab w:val="left" w:pos="709"/>
        </w:tabs>
        <w:ind w:left="709" w:hanging="283"/>
        <w:rPr>
          <w:rStyle w:val="Strong"/>
          <w:sz w:val="22"/>
          <w:szCs w:val="22"/>
          <w:lang w:val="en-GB"/>
        </w:rPr>
      </w:pPr>
      <w:r w:rsidRPr="00487A6F">
        <w:rPr>
          <w:rStyle w:val="Strong"/>
          <w:sz w:val="22"/>
          <w:szCs w:val="22"/>
          <w:lang w:val="en-GB"/>
        </w:rPr>
        <w:t>Procedure</w:t>
      </w:r>
    </w:p>
    <w:p w:rsidR="00CB578E" w:rsidRPr="005050A7" w:rsidRDefault="00BA37DF" w:rsidP="005050A7">
      <w:pPr>
        <w:ind w:left="709"/>
        <w:rPr>
          <w:sz w:val="22"/>
          <w:szCs w:val="22"/>
        </w:rPr>
      </w:pPr>
      <w:r>
        <w:rPr>
          <w:sz w:val="22"/>
          <w:szCs w:val="22"/>
        </w:rPr>
        <w:t xml:space="preserve">International </w:t>
      </w:r>
      <w:r w:rsidR="00CB578E" w:rsidRPr="005C157E">
        <w:rPr>
          <w:sz w:val="22"/>
          <w:szCs w:val="22"/>
        </w:rPr>
        <w:t>Open</w:t>
      </w:r>
    </w:p>
    <w:p w:rsidR="00CB578E" w:rsidRPr="00487A6F" w:rsidRDefault="00CB578E" w:rsidP="005050A7">
      <w:pPr>
        <w:pStyle w:val="PRAGHeading2"/>
        <w:tabs>
          <w:tab w:val="clear" w:pos="1134"/>
          <w:tab w:val="left" w:pos="709"/>
        </w:tabs>
        <w:ind w:left="709" w:hanging="283"/>
        <w:rPr>
          <w:rStyle w:val="Strong"/>
          <w:sz w:val="22"/>
          <w:szCs w:val="22"/>
          <w:lang w:val="pt-PT"/>
        </w:rPr>
      </w:pPr>
      <w:r w:rsidRPr="003B22D5">
        <w:rPr>
          <w:rStyle w:val="Strong"/>
          <w:sz w:val="22"/>
          <w:szCs w:val="22"/>
          <w:lang w:val="en-GB"/>
        </w:rPr>
        <w:t>Programme</w:t>
      </w:r>
      <w:r w:rsidR="00620A3B">
        <w:rPr>
          <w:rStyle w:val="Strong"/>
          <w:sz w:val="22"/>
          <w:szCs w:val="22"/>
          <w:lang w:val="pt-PT"/>
        </w:rPr>
        <w:t xml:space="preserve"> </w:t>
      </w:r>
      <w:r w:rsidR="00620A3B" w:rsidRPr="003B22D5">
        <w:rPr>
          <w:rStyle w:val="Strong"/>
          <w:sz w:val="22"/>
          <w:szCs w:val="22"/>
          <w:lang w:val="en-GB"/>
        </w:rPr>
        <w:t>title</w:t>
      </w:r>
    </w:p>
    <w:p w:rsidR="00620A3B" w:rsidRPr="00C66C83" w:rsidRDefault="005C157E" w:rsidP="00BC72C3">
      <w:pPr>
        <w:pStyle w:val="PRAGHeading2"/>
        <w:numPr>
          <w:ilvl w:val="0"/>
          <w:numId w:val="0"/>
        </w:numPr>
        <w:ind w:left="709"/>
        <w:rPr>
          <w:lang w:val="en-GB"/>
        </w:rPr>
      </w:pPr>
      <w:r>
        <w:rPr>
          <w:lang w:val="en-GB"/>
        </w:rPr>
        <w:t>Annual Action Programme for Serbia for the year 2018</w:t>
      </w:r>
    </w:p>
    <w:p w:rsidR="00CB578E" w:rsidRPr="00487A6F" w:rsidRDefault="00CB578E" w:rsidP="005050A7">
      <w:pPr>
        <w:pStyle w:val="PRAGHeading2"/>
        <w:tabs>
          <w:tab w:val="clear" w:pos="1134"/>
          <w:tab w:val="left" w:pos="709"/>
        </w:tabs>
        <w:ind w:left="709" w:hanging="283"/>
        <w:rPr>
          <w:rStyle w:val="Strong"/>
          <w:sz w:val="22"/>
          <w:szCs w:val="22"/>
          <w:lang w:val="en-GB"/>
        </w:rPr>
      </w:pPr>
      <w:r w:rsidRPr="00487A6F">
        <w:rPr>
          <w:rStyle w:val="Strong"/>
          <w:sz w:val="22"/>
          <w:szCs w:val="22"/>
          <w:lang w:val="en-GB"/>
        </w:rPr>
        <w:t>Financing</w:t>
      </w:r>
    </w:p>
    <w:p w:rsidR="005C157E" w:rsidRPr="005050A7" w:rsidRDefault="005C157E" w:rsidP="005C157E">
      <w:pPr>
        <w:pStyle w:val="PRAGHeading2"/>
        <w:numPr>
          <w:ilvl w:val="0"/>
          <w:numId w:val="0"/>
        </w:numPr>
        <w:ind w:left="1134" w:hanging="567"/>
      </w:pPr>
      <w:r>
        <w:t xml:space="preserve"> </w:t>
      </w:r>
      <w:r w:rsidR="0049086F">
        <w:t xml:space="preserve"> </w:t>
      </w:r>
      <w:r w:rsidRPr="00063DBC">
        <w:t>Financing agreement</w:t>
      </w:r>
      <w:r>
        <w:t xml:space="preserve"> </w:t>
      </w:r>
    </w:p>
    <w:p w:rsidR="00CB578E" w:rsidRPr="00487A6F" w:rsidRDefault="00CB578E" w:rsidP="005C157E">
      <w:pPr>
        <w:pStyle w:val="PRAGHeading2"/>
        <w:tabs>
          <w:tab w:val="clear" w:pos="1134"/>
          <w:tab w:val="left" w:pos="709"/>
        </w:tabs>
        <w:ind w:left="709" w:hanging="283"/>
        <w:rPr>
          <w:rStyle w:val="Strong"/>
          <w:sz w:val="22"/>
          <w:szCs w:val="22"/>
          <w:lang w:val="en-GB"/>
        </w:rPr>
      </w:pPr>
      <w:r w:rsidRPr="00487A6F">
        <w:rPr>
          <w:rStyle w:val="Strong"/>
          <w:sz w:val="22"/>
          <w:szCs w:val="22"/>
          <w:lang w:val="en-GB"/>
        </w:rPr>
        <w:t xml:space="preserve">Contracting </w:t>
      </w:r>
      <w:r w:rsidR="0094257E">
        <w:rPr>
          <w:rStyle w:val="Strong"/>
          <w:sz w:val="22"/>
          <w:szCs w:val="22"/>
          <w:lang w:val="en-GB"/>
        </w:rPr>
        <w:t>a</w:t>
      </w:r>
      <w:r w:rsidRPr="00487A6F">
        <w:rPr>
          <w:rStyle w:val="Strong"/>
          <w:sz w:val="22"/>
          <w:szCs w:val="22"/>
          <w:lang w:val="en-GB"/>
        </w:rPr>
        <w:t>uthority</w:t>
      </w:r>
    </w:p>
    <w:p w:rsidR="00607ED1" w:rsidRPr="005C157E" w:rsidRDefault="005C157E" w:rsidP="005C157E">
      <w:pPr>
        <w:pStyle w:val="PRAGHeading2"/>
        <w:numPr>
          <w:ilvl w:val="0"/>
          <w:numId w:val="0"/>
        </w:numPr>
        <w:ind w:left="720"/>
        <w:jc w:val="both"/>
        <w:rPr>
          <w:sz w:val="22"/>
          <w:szCs w:val="22"/>
          <w:lang w:val="en-GB"/>
        </w:rPr>
      </w:pPr>
      <w:r w:rsidRPr="005C157E">
        <w:rPr>
          <w:sz w:val="22"/>
          <w:szCs w:val="22"/>
          <w:lang w:val="en-GB"/>
        </w:rPr>
        <w:t>The Government of the Republic of Serbia, represented by the Ministry of Finance, Department for Contracting and Financing of EU Funded Programmes (CFCU), Belgrade, Serbia</w:t>
      </w:r>
    </w:p>
    <w:p w:rsidR="00CB578E" w:rsidRPr="00487A6F" w:rsidRDefault="00CB578E" w:rsidP="005050A7">
      <w:pPr>
        <w:pStyle w:val="PRAGHeading2"/>
        <w:tabs>
          <w:tab w:val="clear" w:pos="1134"/>
          <w:tab w:val="left" w:pos="709"/>
        </w:tabs>
        <w:ind w:left="709" w:hanging="283"/>
        <w:rPr>
          <w:rStyle w:val="Strong"/>
          <w:sz w:val="22"/>
          <w:szCs w:val="22"/>
          <w:lang w:val="en-GB"/>
        </w:rPr>
      </w:pPr>
      <w:r w:rsidRPr="00487A6F">
        <w:rPr>
          <w:rStyle w:val="Strong"/>
          <w:sz w:val="22"/>
          <w:szCs w:val="22"/>
          <w:lang w:val="en-GB"/>
        </w:rPr>
        <w:t>Description of the contract</w:t>
      </w:r>
    </w:p>
    <w:p w:rsidR="00436574" w:rsidRDefault="00436574" w:rsidP="00436574">
      <w:pPr>
        <w:pStyle w:val="Default"/>
        <w:ind w:left="709"/>
        <w:jc w:val="both"/>
        <w:rPr>
          <w:snapToGrid w:val="0"/>
          <w:color w:val="auto"/>
          <w:sz w:val="22"/>
          <w:szCs w:val="22"/>
          <w:lang w:val="en-US" w:eastAsia="en-US"/>
        </w:rPr>
      </w:pPr>
      <w:r w:rsidRPr="002A4A6F">
        <w:rPr>
          <w:snapToGrid w:val="0"/>
          <w:color w:val="auto"/>
          <w:sz w:val="22"/>
          <w:szCs w:val="22"/>
          <w:lang w:val="en-US" w:eastAsia="en-US"/>
        </w:rPr>
        <w:t xml:space="preserve">The </w:t>
      </w:r>
      <w:r>
        <w:rPr>
          <w:snapToGrid w:val="0"/>
          <w:color w:val="auto"/>
          <w:sz w:val="22"/>
          <w:szCs w:val="22"/>
          <w:lang w:val="en-US" w:eastAsia="en-US"/>
        </w:rPr>
        <w:t>project</w:t>
      </w:r>
      <w:r w:rsidRPr="002A4A6F">
        <w:rPr>
          <w:snapToGrid w:val="0"/>
          <w:color w:val="auto"/>
          <w:sz w:val="22"/>
          <w:szCs w:val="22"/>
          <w:lang w:val="en-US" w:eastAsia="en-US"/>
        </w:rPr>
        <w:t xml:space="preserve"> is to upgrade and extend the communal wastewater collection system and to introduce adequate wastewater treatment for the city of </w:t>
      </w:r>
      <w:r>
        <w:rPr>
          <w:snapToGrid w:val="0"/>
          <w:color w:val="auto"/>
          <w:sz w:val="22"/>
          <w:szCs w:val="22"/>
          <w:lang w:val="en-US" w:eastAsia="en-US"/>
        </w:rPr>
        <w:t>Ni</w:t>
      </w:r>
      <w:r>
        <w:rPr>
          <w:snapToGrid w:val="0"/>
          <w:color w:val="auto"/>
          <w:sz w:val="22"/>
          <w:szCs w:val="22"/>
          <w:lang w:eastAsia="en-US"/>
        </w:rPr>
        <w:t>š</w:t>
      </w:r>
      <w:r w:rsidRPr="002A4A6F">
        <w:rPr>
          <w:snapToGrid w:val="0"/>
          <w:color w:val="auto"/>
          <w:sz w:val="22"/>
          <w:szCs w:val="22"/>
          <w:lang w:val="en-US" w:eastAsia="en-US"/>
        </w:rPr>
        <w:t xml:space="preserve">. </w:t>
      </w:r>
    </w:p>
    <w:p w:rsidR="00436574" w:rsidRDefault="00436574" w:rsidP="00436574">
      <w:pPr>
        <w:pStyle w:val="Default"/>
        <w:ind w:left="709"/>
        <w:jc w:val="both"/>
        <w:rPr>
          <w:snapToGrid w:val="0"/>
          <w:color w:val="auto"/>
          <w:sz w:val="22"/>
          <w:szCs w:val="22"/>
          <w:lang w:val="en-US" w:eastAsia="en-US"/>
        </w:rPr>
      </w:pPr>
    </w:p>
    <w:p w:rsidR="00436574" w:rsidRDefault="00436574" w:rsidP="00436574">
      <w:pPr>
        <w:pStyle w:val="Default"/>
        <w:ind w:left="709"/>
        <w:jc w:val="both"/>
        <w:rPr>
          <w:snapToGrid w:val="0"/>
          <w:color w:val="auto"/>
          <w:sz w:val="22"/>
          <w:szCs w:val="22"/>
          <w:lang w:val="en-US" w:eastAsia="en-US"/>
        </w:rPr>
      </w:pPr>
      <w:r w:rsidRPr="002A4A6F">
        <w:rPr>
          <w:snapToGrid w:val="0"/>
          <w:color w:val="auto"/>
          <w:sz w:val="22"/>
          <w:szCs w:val="22"/>
          <w:lang w:val="en-US" w:eastAsia="en-US"/>
        </w:rPr>
        <w:t>Th</w:t>
      </w:r>
      <w:r>
        <w:rPr>
          <w:snapToGrid w:val="0"/>
          <w:color w:val="auto"/>
          <w:sz w:val="22"/>
          <w:szCs w:val="22"/>
          <w:lang w:val="en-US" w:eastAsia="en-US"/>
        </w:rPr>
        <w:t>e project covers the</w:t>
      </w:r>
      <w:r w:rsidRPr="002A4A6F">
        <w:rPr>
          <w:snapToGrid w:val="0"/>
          <w:color w:val="auto"/>
          <w:sz w:val="22"/>
          <w:szCs w:val="22"/>
          <w:lang w:val="en-US" w:eastAsia="en-US"/>
        </w:rPr>
        <w:t xml:space="preserve"> </w:t>
      </w:r>
      <w:r>
        <w:rPr>
          <w:snapToGrid w:val="0"/>
          <w:color w:val="auto"/>
          <w:sz w:val="22"/>
          <w:szCs w:val="22"/>
          <w:lang w:val="en-US" w:eastAsia="en-US"/>
        </w:rPr>
        <w:t>following components:</w:t>
      </w:r>
    </w:p>
    <w:p w:rsidR="00436574" w:rsidRDefault="00436574" w:rsidP="00436574">
      <w:pPr>
        <w:pStyle w:val="Default"/>
        <w:ind w:left="709"/>
        <w:jc w:val="both"/>
        <w:rPr>
          <w:snapToGrid w:val="0"/>
          <w:color w:val="auto"/>
          <w:sz w:val="22"/>
          <w:szCs w:val="22"/>
          <w:lang w:val="en-US" w:eastAsia="en-US"/>
        </w:rPr>
      </w:pPr>
    </w:p>
    <w:p w:rsidR="00436574" w:rsidRDefault="00436574" w:rsidP="00436574">
      <w:pPr>
        <w:pStyle w:val="Default"/>
        <w:numPr>
          <w:ilvl w:val="0"/>
          <w:numId w:val="6"/>
        </w:numPr>
        <w:jc w:val="both"/>
        <w:rPr>
          <w:snapToGrid w:val="0"/>
          <w:color w:val="auto"/>
          <w:sz w:val="22"/>
          <w:szCs w:val="22"/>
          <w:lang w:val="en-US" w:eastAsia="en-US"/>
        </w:rPr>
      </w:pPr>
      <w:r>
        <w:rPr>
          <w:snapToGrid w:val="0"/>
          <w:color w:val="auto"/>
          <w:sz w:val="22"/>
          <w:szCs w:val="22"/>
          <w:lang w:val="en-US" w:eastAsia="en-US"/>
        </w:rPr>
        <w:t>Rehabilitation e</w:t>
      </w:r>
      <w:r w:rsidR="00545756">
        <w:rPr>
          <w:snapToGrid w:val="0"/>
          <w:color w:val="auto"/>
          <w:sz w:val="22"/>
          <w:szCs w:val="22"/>
          <w:lang w:val="en-US" w:eastAsia="en-US"/>
        </w:rPr>
        <w:t>xisting collectors (about 4km)</w:t>
      </w:r>
    </w:p>
    <w:p w:rsidR="00436574" w:rsidRDefault="00436574" w:rsidP="00436574">
      <w:pPr>
        <w:pStyle w:val="Default"/>
        <w:numPr>
          <w:ilvl w:val="0"/>
          <w:numId w:val="6"/>
        </w:numPr>
        <w:jc w:val="both"/>
        <w:rPr>
          <w:snapToGrid w:val="0"/>
          <w:color w:val="auto"/>
          <w:sz w:val="22"/>
          <w:szCs w:val="22"/>
          <w:lang w:val="en-US" w:eastAsia="en-US"/>
        </w:rPr>
      </w:pPr>
      <w:r>
        <w:rPr>
          <w:snapToGrid w:val="0"/>
          <w:color w:val="auto"/>
          <w:sz w:val="22"/>
          <w:szCs w:val="22"/>
          <w:lang w:val="en-US" w:eastAsia="en-US"/>
        </w:rPr>
        <w:t>Construction of new collectors (about 20km)</w:t>
      </w:r>
    </w:p>
    <w:p w:rsidR="00436574" w:rsidRDefault="00436574" w:rsidP="00436574">
      <w:pPr>
        <w:pStyle w:val="Default"/>
        <w:numPr>
          <w:ilvl w:val="0"/>
          <w:numId w:val="6"/>
        </w:numPr>
        <w:jc w:val="both"/>
        <w:rPr>
          <w:snapToGrid w:val="0"/>
          <w:color w:val="auto"/>
          <w:sz w:val="22"/>
          <w:szCs w:val="22"/>
          <w:lang w:val="en-US" w:eastAsia="en-US"/>
        </w:rPr>
      </w:pPr>
      <w:r>
        <w:rPr>
          <w:snapToGrid w:val="0"/>
          <w:color w:val="auto"/>
          <w:sz w:val="22"/>
          <w:szCs w:val="22"/>
          <w:lang w:val="en-US" w:eastAsia="en-US"/>
        </w:rPr>
        <w:t>Construction of new sewers in villages (about 26km)</w:t>
      </w:r>
    </w:p>
    <w:p w:rsidR="00436574" w:rsidRDefault="00436574" w:rsidP="00436574">
      <w:pPr>
        <w:pStyle w:val="Default"/>
        <w:numPr>
          <w:ilvl w:val="0"/>
          <w:numId w:val="6"/>
        </w:numPr>
        <w:jc w:val="both"/>
        <w:rPr>
          <w:snapToGrid w:val="0"/>
          <w:color w:val="auto"/>
          <w:sz w:val="22"/>
          <w:szCs w:val="22"/>
          <w:lang w:val="en-US" w:eastAsia="en-US"/>
        </w:rPr>
      </w:pPr>
      <w:r>
        <w:rPr>
          <w:snapToGrid w:val="0"/>
          <w:color w:val="auto"/>
          <w:sz w:val="22"/>
          <w:szCs w:val="22"/>
          <w:lang w:val="en-US" w:eastAsia="en-US"/>
        </w:rPr>
        <w:t>Pumping stations on network</w:t>
      </w:r>
    </w:p>
    <w:p w:rsidR="00436574" w:rsidRDefault="00436574" w:rsidP="00436574">
      <w:pPr>
        <w:pStyle w:val="Default"/>
        <w:numPr>
          <w:ilvl w:val="0"/>
          <w:numId w:val="6"/>
        </w:numPr>
        <w:jc w:val="both"/>
        <w:rPr>
          <w:snapToGrid w:val="0"/>
          <w:color w:val="auto"/>
          <w:sz w:val="22"/>
          <w:szCs w:val="22"/>
          <w:lang w:val="en-US" w:eastAsia="en-US"/>
        </w:rPr>
      </w:pPr>
      <w:r>
        <w:rPr>
          <w:snapToGrid w:val="0"/>
          <w:color w:val="auto"/>
          <w:sz w:val="22"/>
          <w:szCs w:val="22"/>
          <w:lang w:val="en-US" w:eastAsia="en-US"/>
        </w:rPr>
        <w:t>C</w:t>
      </w:r>
      <w:r w:rsidRPr="006E09D6">
        <w:rPr>
          <w:snapToGrid w:val="0"/>
          <w:color w:val="auto"/>
          <w:sz w:val="22"/>
          <w:szCs w:val="22"/>
          <w:lang w:val="en-US" w:eastAsia="en-US"/>
        </w:rPr>
        <w:t>onstruction of Waste Water Treatment Plants</w:t>
      </w:r>
      <w:r>
        <w:rPr>
          <w:snapToGrid w:val="0"/>
          <w:color w:val="auto"/>
          <w:sz w:val="22"/>
          <w:szCs w:val="22"/>
          <w:lang w:val="en-US" w:eastAsia="en-US"/>
        </w:rPr>
        <w:t xml:space="preserve"> Ciganski Ključ</w:t>
      </w:r>
      <w:r w:rsidRPr="00B91538">
        <w:rPr>
          <w:snapToGrid w:val="0"/>
          <w:color w:val="auto"/>
          <w:sz w:val="22"/>
          <w:szCs w:val="22"/>
          <w:lang w:val="en-US" w:eastAsia="en-US"/>
        </w:rPr>
        <w:t xml:space="preserve"> </w:t>
      </w:r>
      <w:r>
        <w:rPr>
          <w:snapToGrid w:val="0"/>
          <w:color w:val="auto"/>
          <w:sz w:val="22"/>
          <w:szCs w:val="22"/>
          <w:lang w:val="en-US" w:eastAsia="en-US"/>
        </w:rPr>
        <w:t>(PE 286,000)</w:t>
      </w:r>
      <w:r w:rsidRPr="006E09D6">
        <w:rPr>
          <w:snapToGrid w:val="0"/>
          <w:color w:val="auto"/>
          <w:sz w:val="22"/>
          <w:szCs w:val="22"/>
          <w:lang w:val="en-US" w:eastAsia="en-US"/>
        </w:rPr>
        <w:t xml:space="preserve"> and </w:t>
      </w:r>
    </w:p>
    <w:p w:rsidR="00436574" w:rsidRPr="00A813EE" w:rsidRDefault="00436574" w:rsidP="00436574">
      <w:pPr>
        <w:pStyle w:val="Default"/>
        <w:numPr>
          <w:ilvl w:val="0"/>
          <w:numId w:val="6"/>
        </w:numPr>
        <w:jc w:val="both"/>
        <w:rPr>
          <w:snapToGrid w:val="0"/>
          <w:color w:val="auto"/>
          <w:sz w:val="22"/>
          <w:szCs w:val="22"/>
          <w:lang w:val="en-US" w:eastAsia="en-US"/>
        </w:rPr>
      </w:pPr>
      <w:r w:rsidRPr="00DB7C0B">
        <w:rPr>
          <w:snapToGrid w:val="0"/>
          <w:color w:val="auto"/>
          <w:sz w:val="22"/>
          <w:szCs w:val="22"/>
          <w:lang w:val="en-US" w:eastAsia="en-US"/>
        </w:rPr>
        <w:t>Wastewater treatment at WTP Mediana</w:t>
      </w:r>
      <w:r>
        <w:rPr>
          <w:snapToGrid w:val="0"/>
          <w:color w:val="auto"/>
          <w:sz w:val="22"/>
          <w:szCs w:val="22"/>
          <w:lang w:val="en-US" w:eastAsia="en-US"/>
        </w:rPr>
        <w:t xml:space="preserve">. </w:t>
      </w:r>
    </w:p>
    <w:p w:rsidR="00CB578E" w:rsidRPr="005050A7" w:rsidRDefault="00CB578E" w:rsidP="005050A7">
      <w:pPr>
        <w:ind w:left="709"/>
        <w:rPr>
          <w:sz w:val="22"/>
          <w:szCs w:val="22"/>
        </w:rPr>
      </w:pPr>
    </w:p>
    <w:p w:rsidR="00CB578E" w:rsidRPr="00487A6F" w:rsidRDefault="00CB578E" w:rsidP="005050A7">
      <w:pPr>
        <w:pStyle w:val="PRAGHeading2"/>
        <w:tabs>
          <w:tab w:val="clear" w:pos="1134"/>
          <w:tab w:val="left" w:pos="709"/>
        </w:tabs>
        <w:ind w:left="709" w:hanging="283"/>
        <w:rPr>
          <w:rStyle w:val="Strong"/>
          <w:sz w:val="22"/>
          <w:szCs w:val="22"/>
          <w:lang w:val="en-GB"/>
        </w:rPr>
      </w:pPr>
      <w:r w:rsidRPr="00487A6F">
        <w:rPr>
          <w:rStyle w:val="Strong"/>
          <w:sz w:val="22"/>
          <w:szCs w:val="22"/>
          <w:lang w:val="en-GB"/>
        </w:rPr>
        <w:t>Indicative number and titles of lots</w:t>
      </w:r>
    </w:p>
    <w:p w:rsidR="00436574" w:rsidRDefault="00436574" w:rsidP="00436574">
      <w:pPr>
        <w:pStyle w:val="PRAGHeading2"/>
        <w:numPr>
          <w:ilvl w:val="0"/>
          <w:numId w:val="0"/>
        </w:numPr>
        <w:ind w:left="1134" w:hanging="567"/>
        <w:rPr>
          <w:rStyle w:val="Emphasis"/>
          <w:i w:val="0"/>
          <w:sz w:val="22"/>
          <w:szCs w:val="22"/>
          <w:lang w:val="en-GB"/>
        </w:rPr>
      </w:pPr>
      <w:r>
        <w:rPr>
          <w:rStyle w:val="Emphasis"/>
          <w:i w:val="0"/>
          <w:sz w:val="22"/>
          <w:szCs w:val="22"/>
          <w:lang w:val="en-GB"/>
        </w:rPr>
        <w:t>2 (two) lots.</w:t>
      </w:r>
    </w:p>
    <w:p w:rsidR="00436574" w:rsidRDefault="00436574" w:rsidP="00436574">
      <w:pPr>
        <w:pStyle w:val="PRAGHeading2"/>
        <w:numPr>
          <w:ilvl w:val="0"/>
          <w:numId w:val="0"/>
        </w:numPr>
        <w:ind w:left="1134" w:hanging="567"/>
        <w:rPr>
          <w:rStyle w:val="Emphasis"/>
          <w:i w:val="0"/>
          <w:sz w:val="22"/>
          <w:szCs w:val="22"/>
          <w:lang w:val="en-GB"/>
        </w:rPr>
      </w:pPr>
      <w:r>
        <w:rPr>
          <w:rStyle w:val="Emphasis"/>
          <w:i w:val="0"/>
          <w:sz w:val="22"/>
          <w:szCs w:val="22"/>
          <w:lang w:val="en-GB"/>
        </w:rPr>
        <w:t>Lots Titles:</w:t>
      </w:r>
    </w:p>
    <w:p w:rsidR="0049086F" w:rsidRDefault="00436574" w:rsidP="0049086F">
      <w:pPr>
        <w:pStyle w:val="PRAGHeading2"/>
        <w:numPr>
          <w:ilvl w:val="0"/>
          <w:numId w:val="0"/>
        </w:numPr>
        <w:tabs>
          <w:tab w:val="left" w:pos="709"/>
        </w:tabs>
        <w:ind w:left="540" w:firstLine="27"/>
        <w:rPr>
          <w:rStyle w:val="Strong"/>
          <w:b w:val="0"/>
          <w:sz w:val="22"/>
          <w:szCs w:val="22"/>
          <w:lang w:val="en-GB"/>
        </w:rPr>
      </w:pPr>
      <w:r w:rsidRPr="0049086F">
        <w:rPr>
          <w:rStyle w:val="Emphasis"/>
          <w:i w:val="0"/>
          <w:sz w:val="22"/>
          <w:szCs w:val="22"/>
          <w:lang w:val="en-GB"/>
        </w:rPr>
        <w:lastRenderedPageBreak/>
        <w:t>Lot 1 –</w:t>
      </w:r>
      <w:r w:rsidR="0049086F">
        <w:rPr>
          <w:rStyle w:val="Emphasis"/>
          <w:i w:val="0"/>
          <w:sz w:val="22"/>
          <w:szCs w:val="22"/>
          <w:lang w:val="en-GB"/>
        </w:rPr>
        <w:t xml:space="preserve"> </w:t>
      </w:r>
      <w:r w:rsidRPr="0049086F">
        <w:rPr>
          <w:sz w:val="22"/>
          <w:szCs w:val="22"/>
        </w:rPr>
        <w:t xml:space="preserve">Construction of </w:t>
      </w:r>
      <w:r w:rsidR="0049086F" w:rsidRPr="0049086F">
        <w:rPr>
          <w:rStyle w:val="Strong"/>
          <w:b w:val="0"/>
          <w:sz w:val="22"/>
          <w:szCs w:val="22"/>
          <w:lang w:val="en-GB"/>
        </w:rPr>
        <w:t xml:space="preserve">WWTP </w:t>
      </w:r>
      <w:r w:rsidR="0049086F">
        <w:rPr>
          <w:rStyle w:val="Strong"/>
          <w:b w:val="0"/>
          <w:sz w:val="22"/>
          <w:szCs w:val="22"/>
          <w:lang w:val="en-GB"/>
        </w:rPr>
        <w:t>Ciganski Ključ</w:t>
      </w:r>
      <w:r w:rsidR="0049086F" w:rsidRPr="0049086F">
        <w:rPr>
          <w:rStyle w:val="Strong"/>
          <w:b w:val="0"/>
          <w:sz w:val="22"/>
          <w:szCs w:val="22"/>
          <w:lang w:val="en-GB"/>
        </w:rPr>
        <w:t xml:space="preserve"> and Wastewater treatment at WTP Mediana </w:t>
      </w:r>
      <w:r w:rsidR="0049086F">
        <w:rPr>
          <w:rStyle w:val="Strong"/>
          <w:b w:val="0"/>
          <w:sz w:val="22"/>
          <w:szCs w:val="22"/>
          <w:lang w:val="en-GB"/>
        </w:rPr>
        <w:t>(FIDIC Condition of Contract - Yellow Book)</w:t>
      </w:r>
    </w:p>
    <w:p w:rsidR="00436574" w:rsidRPr="0049086F" w:rsidRDefault="00436574" w:rsidP="0049086F">
      <w:pPr>
        <w:pStyle w:val="PRAGHeading2"/>
        <w:numPr>
          <w:ilvl w:val="0"/>
          <w:numId w:val="0"/>
        </w:numPr>
        <w:tabs>
          <w:tab w:val="left" w:pos="709"/>
          <w:tab w:val="left" w:pos="1440"/>
        </w:tabs>
        <w:ind w:left="567"/>
        <w:rPr>
          <w:rStyle w:val="Emphasis"/>
          <w:i w:val="0"/>
          <w:sz w:val="22"/>
          <w:szCs w:val="22"/>
          <w:lang w:val="en-GB"/>
        </w:rPr>
      </w:pPr>
      <w:r w:rsidRPr="0049086F">
        <w:rPr>
          <w:rStyle w:val="Emphasis"/>
          <w:i w:val="0"/>
          <w:sz w:val="22"/>
          <w:szCs w:val="22"/>
          <w:lang w:val="en-GB"/>
        </w:rPr>
        <w:t>Lot 2 –</w:t>
      </w:r>
      <w:r w:rsidR="0049086F">
        <w:rPr>
          <w:rStyle w:val="Emphasis"/>
          <w:i w:val="0"/>
          <w:sz w:val="22"/>
          <w:szCs w:val="22"/>
          <w:lang w:val="en-GB"/>
        </w:rPr>
        <w:t xml:space="preserve"> </w:t>
      </w:r>
      <w:r w:rsidR="0049086F" w:rsidRPr="0049086F">
        <w:rPr>
          <w:sz w:val="22"/>
          <w:szCs w:val="22"/>
        </w:rPr>
        <w:t xml:space="preserve">Construction </w:t>
      </w:r>
      <w:r w:rsidR="00A53F01" w:rsidRPr="0049086F">
        <w:rPr>
          <w:sz w:val="22"/>
          <w:szCs w:val="22"/>
        </w:rPr>
        <w:t xml:space="preserve">and rehabilitation </w:t>
      </w:r>
      <w:r w:rsidR="00A53F01">
        <w:rPr>
          <w:sz w:val="22"/>
          <w:szCs w:val="22"/>
        </w:rPr>
        <w:t xml:space="preserve">of </w:t>
      </w:r>
      <w:r w:rsidR="0049086F" w:rsidRPr="0049086F">
        <w:rPr>
          <w:sz w:val="22"/>
          <w:szCs w:val="22"/>
        </w:rPr>
        <w:t>collector</w:t>
      </w:r>
      <w:r w:rsidR="00A53F01">
        <w:rPr>
          <w:sz w:val="22"/>
          <w:szCs w:val="22"/>
        </w:rPr>
        <w:t>s</w:t>
      </w:r>
      <w:r w:rsidR="0049086F">
        <w:rPr>
          <w:sz w:val="22"/>
          <w:szCs w:val="22"/>
        </w:rPr>
        <w:t xml:space="preserve"> with pumping stations </w:t>
      </w:r>
      <w:r w:rsidR="00A53F01">
        <w:rPr>
          <w:sz w:val="22"/>
          <w:szCs w:val="22"/>
        </w:rPr>
        <w:t xml:space="preserve">and construction </w:t>
      </w:r>
      <w:r w:rsidR="0049086F" w:rsidRPr="0049086F">
        <w:rPr>
          <w:sz w:val="22"/>
          <w:szCs w:val="22"/>
        </w:rPr>
        <w:t>of sewage ne</w:t>
      </w:r>
      <w:r w:rsidR="00A53F01">
        <w:rPr>
          <w:sz w:val="22"/>
          <w:szCs w:val="22"/>
        </w:rPr>
        <w:t xml:space="preserve">twork </w:t>
      </w:r>
      <w:r w:rsidR="0049086F">
        <w:rPr>
          <w:rStyle w:val="Strong"/>
          <w:b w:val="0"/>
          <w:sz w:val="22"/>
          <w:szCs w:val="22"/>
          <w:lang w:val="en-GB"/>
        </w:rPr>
        <w:t>(FIDIC Condition of Contract - Red Book)</w:t>
      </w:r>
    </w:p>
    <w:p w:rsidR="00CB578E" w:rsidRPr="005050A7" w:rsidRDefault="00CB578E" w:rsidP="005050A7">
      <w:pPr>
        <w:ind w:left="709"/>
        <w:rPr>
          <w:sz w:val="22"/>
          <w:szCs w:val="22"/>
        </w:rPr>
      </w:pPr>
    </w:p>
    <w:p w:rsidR="00CB578E" w:rsidRPr="00487A6F" w:rsidRDefault="00CB578E" w:rsidP="005050A7">
      <w:pPr>
        <w:pStyle w:val="PRAGHeading2"/>
        <w:tabs>
          <w:tab w:val="clear" w:pos="1134"/>
          <w:tab w:val="left" w:pos="709"/>
        </w:tabs>
        <w:ind w:left="709" w:hanging="283"/>
        <w:rPr>
          <w:rStyle w:val="Strong"/>
          <w:sz w:val="22"/>
          <w:szCs w:val="22"/>
          <w:lang w:val="en-GB"/>
        </w:rPr>
      </w:pPr>
      <w:r w:rsidRPr="00487A6F">
        <w:rPr>
          <w:rStyle w:val="Strong"/>
          <w:sz w:val="22"/>
          <w:szCs w:val="22"/>
          <w:lang w:val="en-GB"/>
        </w:rPr>
        <w:t>Scheduled publication date</w:t>
      </w:r>
      <w:r w:rsidR="00154CC5" w:rsidRPr="00487A6F">
        <w:rPr>
          <w:rStyle w:val="Strong"/>
          <w:sz w:val="22"/>
          <w:szCs w:val="22"/>
          <w:lang w:val="en-GB"/>
        </w:rPr>
        <w:t xml:space="preserve"> of the </w:t>
      </w:r>
      <w:r w:rsidR="00607ED1">
        <w:rPr>
          <w:rStyle w:val="Strong"/>
          <w:sz w:val="22"/>
          <w:szCs w:val="22"/>
          <w:lang w:val="en-GB"/>
        </w:rPr>
        <w:t>contract</w:t>
      </w:r>
      <w:r w:rsidR="00607ED1" w:rsidRPr="00487A6F">
        <w:rPr>
          <w:rStyle w:val="Strong"/>
          <w:sz w:val="22"/>
          <w:szCs w:val="22"/>
          <w:lang w:val="en-GB"/>
        </w:rPr>
        <w:t xml:space="preserve"> </w:t>
      </w:r>
      <w:r w:rsidR="00154CC5" w:rsidRPr="00487A6F">
        <w:rPr>
          <w:rStyle w:val="Strong"/>
          <w:sz w:val="22"/>
          <w:szCs w:val="22"/>
          <w:lang w:val="en-GB"/>
        </w:rPr>
        <w:t>notice</w:t>
      </w:r>
    </w:p>
    <w:p w:rsidR="00CB578E" w:rsidRPr="005050A7" w:rsidRDefault="00C8457C" w:rsidP="005050A7">
      <w:pPr>
        <w:ind w:left="709"/>
        <w:rPr>
          <w:sz w:val="22"/>
          <w:szCs w:val="22"/>
        </w:rPr>
      </w:pPr>
      <w:r w:rsidRPr="00C8457C">
        <w:rPr>
          <w:sz w:val="22"/>
          <w:szCs w:val="22"/>
        </w:rPr>
        <w:t>September</w:t>
      </w:r>
      <w:r w:rsidR="00860423" w:rsidRPr="00C8457C">
        <w:rPr>
          <w:sz w:val="22"/>
          <w:szCs w:val="22"/>
        </w:rPr>
        <w:t xml:space="preserve"> 2020</w:t>
      </w:r>
    </w:p>
    <w:p w:rsidR="00CB578E" w:rsidRPr="00487A6F" w:rsidRDefault="00CB578E" w:rsidP="005050A7">
      <w:pPr>
        <w:pStyle w:val="PRAGHeading2"/>
        <w:tabs>
          <w:tab w:val="clear" w:pos="1134"/>
          <w:tab w:val="left" w:pos="709"/>
        </w:tabs>
        <w:ind w:left="709" w:hanging="283"/>
        <w:rPr>
          <w:rStyle w:val="Strong"/>
          <w:sz w:val="22"/>
          <w:szCs w:val="22"/>
          <w:lang w:val="en-GB"/>
        </w:rPr>
      </w:pPr>
      <w:r w:rsidRPr="00487A6F">
        <w:rPr>
          <w:rStyle w:val="Strong"/>
          <w:sz w:val="22"/>
          <w:szCs w:val="22"/>
          <w:lang w:val="en-GB"/>
        </w:rPr>
        <w:t>Other information</w:t>
      </w:r>
    </w:p>
    <w:p w:rsidR="00596230" w:rsidRDefault="0049086F" w:rsidP="005050A7">
      <w:pPr>
        <w:ind w:left="709"/>
        <w:rPr>
          <w:sz w:val="22"/>
          <w:szCs w:val="22"/>
        </w:rPr>
      </w:pPr>
      <w:r>
        <w:rPr>
          <w:sz w:val="22"/>
          <w:szCs w:val="22"/>
        </w:rPr>
        <w:t>N/A</w:t>
      </w:r>
    </w:p>
    <w:p w:rsidR="00CB578E" w:rsidRPr="00487A6F" w:rsidRDefault="00CB578E" w:rsidP="005050A7">
      <w:pPr>
        <w:pStyle w:val="PRAGHeading2"/>
        <w:tabs>
          <w:tab w:val="clear" w:pos="1134"/>
          <w:tab w:val="left" w:pos="709"/>
        </w:tabs>
        <w:ind w:left="709" w:hanging="425"/>
        <w:rPr>
          <w:rStyle w:val="Strong"/>
          <w:sz w:val="22"/>
          <w:szCs w:val="22"/>
          <w:lang w:val="en-GB"/>
        </w:rPr>
      </w:pPr>
      <w:r w:rsidRPr="00487A6F">
        <w:rPr>
          <w:rStyle w:val="Strong"/>
          <w:sz w:val="22"/>
          <w:szCs w:val="22"/>
          <w:lang w:val="en-GB"/>
        </w:rPr>
        <w:t>Legal basis</w:t>
      </w:r>
    </w:p>
    <w:p w:rsidR="000548A7" w:rsidRDefault="000548A7" w:rsidP="00BC72C3">
      <w:pPr>
        <w:pStyle w:val="PRAGHeading2"/>
        <w:numPr>
          <w:ilvl w:val="0"/>
          <w:numId w:val="0"/>
        </w:numPr>
        <w:ind w:left="709"/>
        <w:jc w:val="both"/>
        <w:rPr>
          <w:sz w:val="22"/>
          <w:szCs w:val="22"/>
        </w:rPr>
      </w:pPr>
      <w:r w:rsidRPr="00860423">
        <w:rPr>
          <w:sz w:val="22"/>
          <w:szCs w:val="22"/>
        </w:rPr>
        <w:t>Regulation</w:t>
      </w:r>
      <w:r w:rsidRPr="00860423">
        <w:rPr>
          <w:b/>
          <w:bCs/>
          <w:sz w:val="22"/>
          <w:szCs w:val="22"/>
        </w:rPr>
        <w:t xml:space="preserve"> </w:t>
      </w:r>
      <w:r w:rsidRPr="00860423">
        <w:rPr>
          <w:sz w:val="22"/>
          <w:szCs w:val="22"/>
        </w:rPr>
        <w:t xml:space="preserve">(EU) </w:t>
      </w:r>
      <w:r w:rsidR="0094257E" w:rsidRPr="00860423">
        <w:rPr>
          <w:sz w:val="22"/>
          <w:szCs w:val="22"/>
        </w:rPr>
        <w:t>No </w:t>
      </w:r>
      <w:r w:rsidRPr="00860423">
        <w:rPr>
          <w:sz w:val="22"/>
          <w:szCs w:val="22"/>
          <w:lang w:eastAsia="ja-JP"/>
        </w:rPr>
        <w:t xml:space="preserve">236/2014 of the European Parliament and of the Council of 11 March 2014 laying down common rules and procedures for the implementation of the Union's instruments for financing external action and </w:t>
      </w:r>
      <w:r w:rsidR="00860423" w:rsidRPr="00860423">
        <w:rPr>
          <w:sz w:val="22"/>
          <w:szCs w:val="22"/>
          <w:lang w:eastAsia="ja-JP"/>
        </w:rPr>
        <w:t>Regulation (EU) No 231/2014 of the European Parliament and of the Council of 11 March 2014 establishing an Instrument for Pre-accession Assistance (IPA II).</w:t>
      </w:r>
    </w:p>
    <w:p w:rsidR="000D4777" w:rsidRPr="008B2B30" w:rsidRDefault="000D4777" w:rsidP="002048AD">
      <w:pPr>
        <w:widowControl/>
        <w:spacing w:before="0" w:after="0"/>
        <w:ind w:left="709"/>
        <w:jc w:val="both"/>
        <w:rPr>
          <w:sz w:val="22"/>
          <w:szCs w:val="22"/>
        </w:rPr>
      </w:pPr>
      <w:r w:rsidRPr="008B2B30">
        <w:rPr>
          <w:sz w:val="22"/>
          <w:szCs w:val="22"/>
        </w:rPr>
        <w:t xml:space="preserve">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0D4777" w:rsidRPr="008B2B30" w:rsidRDefault="000D4777" w:rsidP="002048AD">
      <w:pPr>
        <w:widowControl/>
        <w:spacing w:before="0" w:after="0"/>
        <w:ind w:left="709"/>
        <w:jc w:val="both"/>
        <w:rPr>
          <w:sz w:val="22"/>
          <w:szCs w:val="22"/>
        </w:rPr>
      </w:pPr>
      <w:r w:rsidRPr="008B2B30">
        <w:rPr>
          <w:sz w:val="22"/>
          <w:szCs w:val="22"/>
        </w:rPr>
        <w:t>* Agreement on the withdrawal of the United Kingdom of Great Britain and Northern Ireland from the European Union and the European Atomic Energy Community.</w:t>
      </w:r>
    </w:p>
    <w:p w:rsidR="000D4777" w:rsidRPr="008B2B30" w:rsidRDefault="000D4777" w:rsidP="002048AD">
      <w:pPr>
        <w:widowControl/>
        <w:spacing w:before="0" w:after="0"/>
        <w:ind w:left="709"/>
        <w:jc w:val="both"/>
        <w:rPr>
          <w:sz w:val="22"/>
          <w:szCs w:val="22"/>
        </w:rPr>
      </w:pPr>
      <w:r w:rsidRPr="008B2B30">
        <w:rPr>
          <w:sz w:val="22"/>
          <w:szCs w:val="22"/>
        </w:rPr>
        <w:t>** Regulation (EU) No 236/2014 of the European Parliament and of the Council of 11 March 2014 laying down common rules and procedures for the implementation of the Union's instruments for financing external action.</w:t>
      </w:r>
    </w:p>
    <w:p w:rsidR="000D4777" w:rsidRPr="008B2B30" w:rsidRDefault="000D4777" w:rsidP="002048AD">
      <w:pPr>
        <w:widowControl/>
        <w:spacing w:before="0" w:after="0"/>
        <w:ind w:left="709"/>
        <w:jc w:val="both"/>
        <w:rPr>
          <w:sz w:val="22"/>
          <w:szCs w:val="22"/>
        </w:rPr>
      </w:pPr>
      <w:r w:rsidRPr="008B2B30">
        <w:rPr>
          <w:sz w:val="22"/>
          <w:szCs w:val="22"/>
        </w:rPr>
        <w:t>*** Annex IV to the ACP-EU Partnership Agreement, as revised by Decision 1/2014 of the ACP-EU Council of Ministers (OJ L196/40, 3.7.2014)</w:t>
      </w:r>
    </w:p>
    <w:p w:rsidR="000D4777" w:rsidRDefault="000D4777" w:rsidP="002048AD">
      <w:pPr>
        <w:widowControl/>
        <w:spacing w:before="0" w:after="0"/>
        <w:ind w:left="709"/>
        <w:jc w:val="both"/>
        <w:rPr>
          <w:rFonts w:eastAsia="Calibri"/>
          <w:iCs/>
          <w:snapToGrid/>
          <w:sz w:val="22"/>
          <w:szCs w:val="22"/>
          <w:lang w:val="en-GB" w:eastAsia="fr-BE"/>
        </w:rPr>
      </w:pPr>
      <w:r w:rsidRPr="008B2B30">
        <w:rPr>
          <w:sz w:val="22"/>
          <w:szCs w:val="22"/>
        </w:rPr>
        <w:t>**** including the Overseas Countries and Territories having special relations with the United Kingdom, as laid down in Part Four and Annex II of the TFEU</w:t>
      </w:r>
    </w:p>
    <w:p w:rsidR="00B91C0E" w:rsidRPr="00607ED1" w:rsidRDefault="00B91C0E" w:rsidP="0071102D">
      <w:pPr>
        <w:pStyle w:val="Blockquote"/>
        <w:ind w:left="709" w:right="4"/>
        <w:jc w:val="both"/>
        <w:rPr>
          <w:sz w:val="22"/>
          <w:szCs w:val="22"/>
          <w:lang w:val="en-GB"/>
        </w:rPr>
      </w:pPr>
    </w:p>
    <w:p w:rsidR="00CB578E" w:rsidRPr="00487A6F" w:rsidRDefault="0062068D" w:rsidP="00487A6F">
      <w:pPr>
        <w:spacing w:after="0"/>
        <w:rPr>
          <w:rStyle w:val="Strong"/>
          <w:b w:val="0"/>
          <w:sz w:val="22"/>
          <w:szCs w:val="22"/>
          <w:lang w:val="en-GB"/>
        </w:rPr>
      </w:pPr>
      <w:r>
        <w:rPr>
          <w:noProof/>
          <w:snapToGrid/>
        </w:rPr>
        <w:pict>
          <v:line id="_x0000_s1027" style="position:absolute;z-index:251658240;mso-position-horizontal:center" from="0,1.5pt" to="468pt,1.55pt" o:allowincell="f" o:allowoverlap="f" strokecolor="#d4d4d4" strokeweight="1.75pt">
            <v:shadow on="t" origin=",32385f" offset="0,-1pt"/>
          </v:line>
        </w:pict>
      </w:r>
      <w:r w:rsidR="00CB578E" w:rsidRPr="00487A6F">
        <w:rPr>
          <w:rStyle w:val="Strong"/>
          <w:sz w:val="22"/>
          <w:szCs w:val="22"/>
          <w:lang w:val="en-GB"/>
        </w:rPr>
        <w:t>Notes:</w:t>
      </w:r>
    </w:p>
    <w:p w:rsidR="00CB578E" w:rsidRPr="00BC72C3" w:rsidRDefault="00CB578E" w:rsidP="008B2B30">
      <w:pPr>
        <w:pStyle w:val="Blockquote"/>
        <w:jc w:val="both"/>
        <w:rPr>
          <w:sz w:val="18"/>
          <w:szCs w:val="18"/>
        </w:rPr>
      </w:pPr>
      <w:r w:rsidRPr="00590317">
        <w:rPr>
          <w:sz w:val="18"/>
          <w:szCs w:val="18"/>
          <w:lang w:val="en-GB"/>
        </w:rPr>
        <w:t xml:space="preserve">There must be an interval of at least 30 calendar days between the publication of this </w:t>
      </w:r>
      <w:r w:rsidR="00607ED1">
        <w:rPr>
          <w:sz w:val="18"/>
          <w:szCs w:val="18"/>
          <w:lang w:val="en-GB"/>
        </w:rPr>
        <w:t>prior information notice</w:t>
      </w:r>
      <w:r w:rsidRPr="00590317">
        <w:rPr>
          <w:sz w:val="18"/>
          <w:szCs w:val="18"/>
          <w:lang w:val="en-GB"/>
        </w:rPr>
        <w:t xml:space="preserve"> and the publication of the corresponding </w:t>
      </w:r>
      <w:r w:rsidR="00607ED1">
        <w:rPr>
          <w:sz w:val="18"/>
          <w:szCs w:val="18"/>
          <w:lang w:val="en-GB"/>
        </w:rPr>
        <w:t>contract</w:t>
      </w:r>
      <w:r w:rsidR="00607ED1" w:rsidRPr="00590317">
        <w:rPr>
          <w:sz w:val="18"/>
          <w:szCs w:val="18"/>
          <w:lang w:val="en-GB"/>
        </w:rPr>
        <w:t xml:space="preserve"> </w:t>
      </w:r>
      <w:r w:rsidRPr="00590317">
        <w:rPr>
          <w:sz w:val="18"/>
          <w:szCs w:val="18"/>
          <w:lang w:val="en-GB"/>
        </w:rPr>
        <w:t xml:space="preserve">notice. </w:t>
      </w:r>
      <w:r w:rsidR="008D46BC" w:rsidRPr="00CF79FC">
        <w:rPr>
          <w:sz w:val="18"/>
          <w:szCs w:val="18"/>
        </w:rPr>
        <w:t>No applications or requests for further information should be sent at this stage.</w:t>
      </w:r>
    </w:p>
    <w:sectPr w:rsidR="00CB578E" w:rsidRPr="00BC72C3" w:rsidSect="00B8301A">
      <w:headerReference w:type="even" r:id="rId8"/>
      <w:headerReference w:type="default" r:id="rId9"/>
      <w:footerReference w:type="even" r:id="rId10"/>
      <w:footerReference w:type="default" r:id="rId11"/>
      <w:headerReference w:type="first" r:id="rId12"/>
      <w:footerReference w:type="first" r:id="rId13"/>
      <w:pgSz w:w="12240" w:h="15840"/>
      <w:pgMar w:top="1191" w:right="1440" w:bottom="851" w:left="1440" w:header="709" w:footer="5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17" w:rsidRDefault="001D0517">
      <w:r>
        <w:separator/>
      </w:r>
    </w:p>
  </w:endnote>
  <w:endnote w:type="continuationSeparator" w:id="0">
    <w:p w:rsidR="001D0517" w:rsidRDefault="001D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30" w:rsidRDefault="0059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2" w:rsidRDefault="00933312" w:rsidP="00BC72C3">
    <w:pPr>
      <w:pStyle w:val="Footer"/>
      <w:tabs>
        <w:tab w:val="clear" w:pos="4320"/>
        <w:tab w:val="clear" w:pos="8640"/>
        <w:tab w:val="right" w:pos="9214"/>
      </w:tabs>
      <w:spacing w:before="0" w:after="0"/>
      <w:rPr>
        <w:b/>
        <w:sz w:val="20"/>
        <w:lang w:val="en-GB"/>
      </w:rPr>
    </w:pPr>
  </w:p>
  <w:p w:rsidR="0011311F" w:rsidRPr="004F5657" w:rsidRDefault="00B4104E" w:rsidP="00BC72C3">
    <w:pPr>
      <w:pStyle w:val="Footer"/>
      <w:tabs>
        <w:tab w:val="clear" w:pos="4320"/>
        <w:tab w:val="clear" w:pos="8640"/>
        <w:tab w:val="right" w:pos="9214"/>
      </w:tabs>
      <w:spacing w:before="0" w:after="0"/>
      <w:rPr>
        <w:b/>
        <w:sz w:val="20"/>
        <w:lang w:val="en-GB"/>
      </w:rPr>
    </w:pPr>
    <w:r>
      <w:rPr>
        <w:b/>
        <w:sz w:val="18"/>
        <w:lang w:val="en-GB"/>
      </w:rPr>
      <w:t>July 2019</w:t>
    </w:r>
    <w:r w:rsidR="00BC72C3" w:rsidRPr="004F5657">
      <w:rPr>
        <w:b/>
        <w:sz w:val="20"/>
        <w:lang w:val="en-GB"/>
      </w:rPr>
      <w:tab/>
    </w:r>
    <w:r w:rsidR="00BC72C3" w:rsidRPr="00454918">
      <w:rPr>
        <w:sz w:val="18"/>
        <w:szCs w:val="18"/>
        <w:lang w:val="en-GB"/>
      </w:rPr>
      <w:t xml:space="preserve">Page </w:t>
    </w:r>
    <w:r w:rsidR="00BC72C3" w:rsidRPr="00454918">
      <w:rPr>
        <w:sz w:val="18"/>
        <w:szCs w:val="18"/>
        <w:lang w:val="en-GB"/>
      </w:rPr>
      <w:fldChar w:fldCharType="begin"/>
    </w:r>
    <w:r w:rsidR="00BC72C3" w:rsidRPr="00454918">
      <w:rPr>
        <w:sz w:val="18"/>
        <w:szCs w:val="18"/>
        <w:lang w:val="en-GB"/>
      </w:rPr>
      <w:instrText xml:space="preserve"> PAGE </w:instrText>
    </w:r>
    <w:r w:rsidR="00BC72C3" w:rsidRPr="00454918">
      <w:rPr>
        <w:sz w:val="18"/>
        <w:szCs w:val="18"/>
        <w:lang w:val="en-GB"/>
      </w:rPr>
      <w:fldChar w:fldCharType="separate"/>
    </w:r>
    <w:r w:rsidR="0062068D">
      <w:rPr>
        <w:noProof/>
        <w:sz w:val="18"/>
        <w:szCs w:val="18"/>
        <w:lang w:val="en-GB"/>
      </w:rPr>
      <w:t>1</w:t>
    </w:r>
    <w:r w:rsidR="00BC72C3" w:rsidRPr="00454918">
      <w:rPr>
        <w:sz w:val="18"/>
        <w:szCs w:val="18"/>
        <w:lang w:val="en-GB"/>
      </w:rPr>
      <w:fldChar w:fldCharType="end"/>
    </w:r>
    <w:r w:rsidR="00BC72C3" w:rsidRPr="00454918">
      <w:rPr>
        <w:sz w:val="18"/>
        <w:szCs w:val="18"/>
        <w:lang w:val="en-GB"/>
      </w:rPr>
      <w:t xml:space="preserve"> of </w:t>
    </w:r>
    <w:r w:rsidR="00BC72C3" w:rsidRPr="00454918">
      <w:rPr>
        <w:sz w:val="18"/>
        <w:szCs w:val="18"/>
        <w:lang w:val="en-GB"/>
      </w:rPr>
      <w:fldChar w:fldCharType="begin"/>
    </w:r>
    <w:r w:rsidR="00BC72C3" w:rsidRPr="00454918">
      <w:rPr>
        <w:sz w:val="18"/>
        <w:szCs w:val="18"/>
        <w:lang w:val="en-GB"/>
      </w:rPr>
      <w:instrText xml:space="preserve"> NUMPAGES </w:instrText>
    </w:r>
    <w:r w:rsidR="00BC72C3" w:rsidRPr="00454918">
      <w:rPr>
        <w:sz w:val="18"/>
        <w:szCs w:val="18"/>
        <w:lang w:val="en-GB"/>
      </w:rPr>
      <w:fldChar w:fldCharType="separate"/>
    </w:r>
    <w:r w:rsidR="0062068D">
      <w:rPr>
        <w:noProof/>
        <w:sz w:val="18"/>
        <w:szCs w:val="18"/>
        <w:lang w:val="en-GB"/>
      </w:rPr>
      <w:t>2</w:t>
    </w:r>
    <w:r w:rsidR="00BC72C3" w:rsidRPr="00454918">
      <w:rPr>
        <w:sz w:val="18"/>
        <w:szCs w:val="18"/>
        <w:lang w:val="en-GB"/>
      </w:rPr>
      <w:fldChar w:fldCharType="end"/>
    </w:r>
  </w:p>
  <w:p w:rsidR="00607ED1" w:rsidRPr="00BC72C3" w:rsidRDefault="00607ED1" w:rsidP="00BC72C3">
    <w:pPr>
      <w:pStyle w:val="Footer"/>
      <w:tabs>
        <w:tab w:val="left" w:pos="8535"/>
      </w:tabs>
      <w:spacing w:before="0" w:after="0"/>
      <w:ind w:right="360"/>
      <w:rPr>
        <w:sz w:val="20"/>
        <w:lang w:val="en-GB"/>
      </w:rPr>
    </w:pPr>
    <w:r w:rsidRPr="00BC72C3">
      <w:rPr>
        <w:sz w:val="20"/>
        <w:lang w:val="en-GB"/>
      </w:rPr>
      <w:t>d1_priorinfo_en.doc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30" w:rsidRDefault="0059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17" w:rsidRDefault="001D0517">
      <w:r>
        <w:separator/>
      </w:r>
    </w:p>
  </w:footnote>
  <w:footnote w:type="continuationSeparator" w:id="0">
    <w:p w:rsidR="001D0517" w:rsidRDefault="001D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30" w:rsidRDefault="0059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1F" w:rsidRPr="00487A6F" w:rsidRDefault="0011311F" w:rsidP="00487A6F">
    <w:pPr>
      <w:pStyle w:val="Header"/>
      <w:jc w:val="right"/>
      <w:rPr>
        <w:sz w:val="22"/>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30" w:rsidRDefault="0059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247AA"/>
    <w:multiLevelType w:val="hybridMultilevel"/>
    <w:tmpl w:val="30F47B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47501F8"/>
    <w:multiLevelType w:val="multilevel"/>
    <w:tmpl w:val="7D384F7A"/>
    <w:lvl w:ilvl="0">
      <w:start w:val="1"/>
      <w:numFmt w:val="decimal"/>
      <w:lvlText w:val="%1."/>
      <w:lvlJc w:val="left"/>
      <w:pPr>
        <w:tabs>
          <w:tab w:val="num" w:pos="1134"/>
        </w:tabs>
        <w:ind w:left="1134" w:hanging="567"/>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2F34E8"/>
    <w:multiLevelType w:val="hybridMultilevel"/>
    <w:tmpl w:val="5636D236"/>
    <w:lvl w:ilvl="0" w:tplc="0EC28958">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5E2A44D4"/>
    <w:multiLevelType w:val="hybridMultilevel"/>
    <w:tmpl w:val="6416239E"/>
    <w:lvl w:ilvl="0" w:tplc="A69638E8">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0"/>
    <w:lvlOverride w:ilvl="0">
      <w:lvl w:ilvl="0">
        <w:numFmt w:val="bullet"/>
        <w:lvlText w:val=""/>
        <w:lvlJc w:val="left"/>
        <w:pPr>
          <w:ind w:left="720" w:hanging="360"/>
        </w:pPr>
        <w:rPr>
          <w:rFonts w:ascii="Times New Roman" w:hAnsi="Times New Roman" w:hint="default"/>
        </w:rPr>
      </w:lvl>
    </w:lvlOverride>
  </w:num>
  <w:num w:numId="2">
    <w:abstractNumId w:val="0"/>
    <w:lvlOverride w:ilvl="0">
      <w:lvl w:ilvl="0">
        <w:numFmt w:val="bullet"/>
        <w:lvlText w:val=""/>
        <w:legacy w:legacy="1" w:legacySpace="0" w:legacyIndent="360"/>
        <w:lvlJc w:val="left"/>
        <w:pPr>
          <w:ind w:left="0" w:hanging="360"/>
        </w:pPr>
        <w:rPr>
          <w:rFonts w:ascii="Symbol" w:hAnsi="Symbol" w:hint="default"/>
        </w:rPr>
      </w:lvl>
    </w:lvlOverride>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F7329"/>
    <w:rsid w:val="0000173F"/>
    <w:rsid w:val="000039A3"/>
    <w:rsid w:val="00042D3C"/>
    <w:rsid w:val="000548A7"/>
    <w:rsid w:val="00073C7C"/>
    <w:rsid w:val="000D4777"/>
    <w:rsid w:val="000E43C3"/>
    <w:rsid w:val="0011311F"/>
    <w:rsid w:val="00154CC5"/>
    <w:rsid w:val="001A1952"/>
    <w:rsid w:val="001D0517"/>
    <w:rsid w:val="001E1B6F"/>
    <w:rsid w:val="001F479C"/>
    <w:rsid w:val="002048AD"/>
    <w:rsid w:val="00273725"/>
    <w:rsid w:val="00280DF0"/>
    <w:rsid w:val="002A3183"/>
    <w:rsid w:val="002A568A"/>
    <w:rsid w:val="002C2B64"/>
    <w:rsid w:val="002E2D8E"/>
    <w:rsid w:val="002F05AD"/>
    <w:rsid w:val="00321DF0"/>
    <w:rsid w:val="00364945"/>
    <w:rsid w:val="003A2811"/>
    <w:rsid w:val="003B22D5"/>
    <w:rsid w:val="0041582B"/>
    <w:rsid w:val="00420E69"/>
    <w:rsid w:val="00436574"/>
    <w:rsid w:val="00487A6F"/>
    <w:rsid w:val="0049086F"/>
    <w:rsid w:val="004D4A08"/>
    <w:rsid w:val="004E13BF"/>
    <w:rsid w:val="004E60EF"/>
    <w:rsid w:val="004F5657"/>
    <w:rsid w:val="005050A7"/>
    <w:rsid w:val="00515982"/>
    <w:rsid w:val="00520169"/>
    <w:rsid w:val="005203C0"/>
    <w:rsid w:val="00524FF4"/>
    <w:rsid w:val="00545756"/>
    <w:rsid w:val="005760CE"/>
    <w:rsid w:val="00590317"/>
    <w:rsid w:val="00596230"/>
    <w:rsid w:val="005A0F5F"/>
    <w:rsid w:val="005C157E"/>
    <w:rsid w:val="005D48BA"/>
    <w:rsid w:val="005F7458"/>
    <w:rsid w:val="00607ED1"/>
    <w:rsid w:val="0062068D"/>
    <w:rsid w:val="00620A3B"/>
    <w:rsid w:val="00657476"/>
    <w:rsid w:val="00663146"/>
    <w:rsid w:val="006B6E4F"/>
    <w:rsid w:val="006E7091"/>
    <w:rsid w:val="006F564C"/>
    <w:rsid w:val="0071102D"/>
    <w:rsid w:val="00721E48"/>
    <w:rsid w:val="007729C3"/>
    <w:rsid w:val="007815C7"/>
    <w:rsid w:val="007A2D64"/>
    <w:rsid w:val="007F1C10"/>
    <w:rsid w:val="007F7329"/>
    <w:rsid w:val="00860423"/>
    <w:rsid w:val="00884DE7"/>
    <w:rsid w:val="008A5EA3"/>
    <w:rsid w:val="008B2B30"/>
    <w:rsid w:val="008B729C"/>
    <w:rsid w:val="008D46BC"/>
    <w:rsid w:val="008F71E4"/>
    <w:rsid w:val="00923B10"/>
    <w:rsid w:val="00933312"/>
    <w:rsid w:val="0094257E"/>
    <w:rsid w:val="00951A9F"/>
    <w:rsid w:val="009542F5"/>
    <w:rsid w:val="0096199B"/>
    <w:rsid w:val="00977143"/>
    <w:rsid w:val="009841FC"/>
    <w:rsid w:val="00997F51"/>
    <w:rsid w:val="009A1C41"/>
    <w:rsid w:val="009D1E9A"/>
    <w:rsid w:val="00A0127C"/>
    <w:rsid w:val="00A13E93"/>
    <w:rsid w:val="00A53F01"/>
    <w:rsid w:val="00A67FBE"/>
    <w:rsid w:val="00A7250B"/>
    <w:rsid w:val="00A843BC"/>
    <w:rsid w:val="00A921D4"/>
    <w:rsid w:val="00AF483E"/>
    <w:rsid w:val="00B03426"/>
    <w:rsid w:val="00B10518"/>
    <w:rsid w:val="00B34DA5"/>
    <w:rsid w:val="00B4104E"/>
    <w:rsid w:val="00B434BD"/>
    <w:rsid w:val="00B51197"/>
    <w:rsid w:val="00B545C1"/>
    <w:rsid w:val="00B61D05"/>
    <w:rsid w:val="00B75681"/>
    <w:rsid w:val="00B8301A"/>
    <w:rsid w:val="00B91C0E"/>
    <w:rsid w:val="00BA2398"/>
    <w:rsid w:val="00BA37DF"/>
    <w:rsid w:val="00BC72C3"/>
    <w:rsid w:val="00BD7BC4"/>
    <w:rsid w:val="00BF1073"/>
    <w:rsid w:val="00C065CA"/>
    <w:rsid w:val="00C36BD1"/>
    <w:rsid w:val="00C44695"/>
    <w:rsid w:val="00C7763F"/>
    <w:rsid w:val="00C8457C"/>
    <w:rsid w:val="00CB578E"/>
    <w:rsid w:val="00CF0C56"/>
    <w:rsid w:val="00CF5FEF"/>
    <w:rsid w:val="00D33661"/>
    <w:rsid w:val="00DA2A5C"/>
    <w:rsid w:val="00DD68B0"/>
    <w:rsid w:val="00E11F69"/>
    <w:rsid w:val="00E620CB"/>
    <w:rsid w:val="00E84361"/>
    <w:rsid w:val="00E91BB4"/>
    <w:rsid w:val="00ED1764"/>
    <w:rsid w:val="00EF1CD4"/>
    <w:rsid w:val="00EF40E7"/>
    <w:rsid w:val="00F03771"/>
    <w:rsid w:val="00F342D5"/>
    <w:rsid w:val="00F409AE"/>
    <w:rsid w:val="00F91604"/>
    <w:rsid w:val="00FC1183"/>
    <w:rsid w:val="00FC70B9"/>
    <w:rsid w:val="00FF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6A57004"/>
  <w15:chartTrackingRefBased/>
  <w15:docId w15:val="{F8DE8872-717F-4BEB-8E7E-A019D9F8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08"/>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AGHeading2">
    <w:name w:val="PRAG Heading 2"/>
    <w:basedOn w:val="Normal"/>
    <w:rsid w:val="00E620CB"/>
    <w:pPr>
      <w:numPr>
        <w:numId w:val="3"/>
      </w:numPr>
    </w:pPr>
  </w:style>
  <w:style w:type="paragraph" w:styleId="BalloonText">
    <w:name w:val="Balloon Text"/>
    <w:basedOn w:val="Normal"/>
    <w:link w:val="BalloonTextChar"/>
    <w:rsid w:val="00607ED1"/>
    <w:pPr>
      <w:spacing w:before="0" w:after="0"/>
    </w:pPr>
    <w:rPr>
      <w:rFonts w:ascii="Tahoma" w:hAnsi="Tahoma" w:cs="Tahoma"/>
      <w:sz w:val="16"/>
      <w:szCs w:val="16"/>
    </w:rPr>
  </w:style>
  <w:style w:type="character" w:customStyle="1" w:styleId="BalloonTextChar">
    <w:name w:val="Balloon Text Char"/>
    <w:link w:val="BalloonText"/>
    <w:rsid w:val="00607ED1"/>
    <w:rPr>
      <w:rFonts w:ascii="Tahoma" w:hAnsi="Tahoma" w:cs="Tahoma"/>
      <w:snapToGrid w:val="0"/>
      <w:sz w:val="16"/>
      <w:szCs w:val="16"/>
      <w:lang w:val="en-US" w:eastAsia="en-US"/>
    </w:rPr>
  </w:style>
  <w:style w:type="character" w:styleId="CommentReference">
    <w:name w:val="annotation reference"/>
    <w:rsid w:val="00607ED1"/>
    <w:rPr>
      <w:sz w:val="16"/>
      <w:szCs w:val="16"/>
    </w:rPr>
  </w:style>
  <w:style w:type="paragraph" w:styleId="CommentText">
    <w:name w:val="annotation text"/>
    <w:basedOn w:val="Normal"/>
    <w:link w:val="CommentTextChar"/>
    <w:rsid w:val="00607ED1"/>
    <w:rPr>
      <w:sz w:val="20"/>
    </w:rPr>
  </w:style>
  <w:style w:type="character" w:customStyle="1" w:styleId="CommentTextChar">
    <w:name w:val="Comment Text Char"/>
    <w:link w:val="CommentText"/>
    <w:rsid w:val="00607ED1"/>
    <w:rPr>
      <w:snapToGrid w:val="0"/>
      <w:lang w:val="en-US" w:eastAsia="en-US"/>
    </w:rPr>
  </w:style>
  <w:style w:type="paragraph" w:styleId="CommentSubject">
    <w:name w:val="annotation subject"/>
    <w:basedOn w:val="CommentText"/>
    <w:next w:val="CommentText"/>
    <w:link w:val="CommentSubjectChar"/>
    <w:rsid w:val="00607ED1"/>
    <w:rPr>
      <w:b/>
      <w:bCs/>
    </w:rPr>
  </w:style>
  <w:style w:type="character" w:customStyle="1" w:styleId="CommentSubjectChar">
    <w:name w:val="Comment Subject Char"/>
    <w:link w:val="CommentSubject"/>
    <w:rsid w:val="00607ED1"/>
    <w:rPr>
      <w:b/>
      <w:bCs/>
      <w:snapToGrid w:val="0"/>
      <w:lang w:val="en-US" w:eastAsia="en-US"/>
    </w:rPr>
  </w:style>
  <w:style w:type="paragraph" w:styleId="FootnoteText">
    <w:name w:val="footnote text"/>
    <w:basedOn w:val="Normal"/>
    <w:link w:val="FootnoteTextChar"/>
    <w:autoRedefine/>
    <w:rsid w:val="004D4A08"/>
    <w:pPr>
      <w:spacing w:before="0" w:after="120"/>
      <w:ind w:left="142" w:hanging="142"/>
    </w:pPr>
    <w:rPr>
      <w:sz w:val="20"/>
    </w:rPr>
  </w:style>
  <w:style w:type="character" w:customStyle="1" w:styleId="FootnoteTextChar">
    <w:name w:val="Footnote Text Char"/>
    <w:link w:val="FootnoteText"/>
    <w:rsid w:val="004D4A08"/>
    <w:rPr>
      <w:snapToGrid w:val="0"/>
      <w:lang w:val="en-US" w:eastAsia="en-US"/>
    </w:rPr>
  </w:style>
  <w:style w:type="character" w:styleId="FootnoteReference">
    <w:name w:val="footnote reference"/>
    <w:rsid w:val="009A1C41"/>
    <w:rPr>
      <w:vertAlign w:val="superscript"/>
    </w:rPr>
  </w:style>
  <w:style w:type="paragraph" w:styleId="Revision">
    <w:name w:val="Revision"/>
    <w:hidden/>
    <w:uiPriority w:val="99"/>
    <w:semiHidden/>
    <w:rsid w:val="00BC72C3"/>
    <w:rPr>
      <w:snapToGrid w:val="0"/>
      <w:sz w:val="24"/>
    </w:rPr>
  </w:style>
  <w:style w:type="paragraph" w:customStyle="1" w:styleId="Default">
    <w:name w:val="Default"/>
    <w:rsid w:val="00436574"/>
    <w:pPr>
      <w:autoSpaceDE w:val="0"/>
      <w:autoSpaceDN w:val="0"/>
      <w:adjustRightInd w:val="0"/>
    </w:pPr>
    <w:rPr>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5631">
      <w:bodyDiv w:val="1"/>
      <w:marLeft w:val="0"/>
      <w:marRight w:val="0"/>
      <w:marTop w:val="0"/>
      <w:marBottom w:val="0"/>
      <w:divBdr>
        <w:top w:val="none" w:sz="0" w:space="0" w:color="auto"/>
        <w:left w:val="none" w:sz="0" w:space="0" w:color="auto"/>
        <w:bottom w:val="none" w:sz="0" w:space="0" w:color="auto"/>
        <w:right w:val="none" w:sz="0" w:space="0" w:color="auto"/>
      </w:divBdr>
    </w:div>
    <w:div w:id="16958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4A73-E14E-4DD7-80E7-332C164F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2890</Characters>
  <Application>Microsoft Office Word</Application>
  <DocSecurity>0</DocSecurity>
  <Lines>67</Lines>
  <Paragraphs>46</Paragraphs>
  <ScaleCrop>false</ScaleCrop>
  <HeadingPairs>
    <vt:vector size="2" baseType="variant">
      <vt:variant>
        <vt:lpstr>Title</vt:lpstr>
      </vt:variant>
      <vt:variant>
        <vt:i4>1</vt:i4>
      </vt:variant>
    </vt:vector>
  </HeadingPairs>
  <TitlesOfParts>
    <vt:vector size="1" baseType="lpstr">
      <vt:lpstr>Supply contract forecast</vt:lpstr>
    </vt:vector>
  </TitlesOfParts>
  <Company>European Commission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contract forecast</dc:title>
  <dc:subject/>
  <dc:creator>chattob</dc:creator>
  <cp:keywords/>
  <cp:lastModifiedBy>CASSATA Antonella (DEVCO)</cp:lastModifiedBy>
  <cp:revision>3</cp:revision>
  <cp:lastPrinted>2020-06-19T08:49:00Z</cp:lastPrinted>
  <dcterms:created xsi:type="dcterms:W3CDTF">2020-07-29T12:38:00Z</dcterms:created>
  <dcterms:modified xsi:type="dcterms:W3CDTF">2020-07-29T12:38:00Z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