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A5" w:rsidRPr="005D64A5" w:rsidRDefault="005D64A5" w:rsidP="005D64A5">
      <w:pPr>
        <w:spacing w:after="160" w:line="259" w:lineRule="auto"/>
        <w:jc w:val="right"/>
        <w:rPr>
          <w:rFonts w:ascii="Times New Roman" w:eastAsia="Calibri" w:hAnsi="Times New Roman" w:cs="Times New Roman"/>
          <w:lang w:val="en-US" w:eastAsia="en-US"/>
        </w:rPr>
      </w:pPr>
      <w:bookmarkStart w:id="0" w:name="_GoBack"/>
      <w:bookmarkEnd w:id="0"/>
      <w:r w:rsidRPr="006D190C">
        <w:rPr>
          <w:rFonts w:ascii="Times New Roman" w:eastAsia="Calibri" w:hAnsi="Times New Roman" w:cs="Times New Roman"/>
          <w:lang w:val="en-US" w:eastAsia="en-US"/>
        </w:rPr>
        <w:t xml:space="preserve">Belgrade, September </w:t>
      </w:r>
      <w:r w:rsidR="006D190C" w:rsidRPr="006D190C">
        <w:rPr>
          <w:rFonts w:ascii="Times New Roman" w:eastAsia="Calibri" w:hAnsi="Times New Roman" w:cs="Times New Roman"/>
          <w:lang w:val="en-US" w:eastAsia="en-US"/>
        </w:rPr>
        <w:t>13</w:t>
      </w:r>
      <w:r w:rsidRPr="006D190C">
        <w:rPr>
          <w:rFonts w:ascii="Times New Roman" w:eastAsia="Calibri" w:hAnsi="Times New Roman" w:cs="Times New Roman"/>
          <w:lang w:val="en-US" w:eastAsia="en-US"/>
        </w:rPr>
        <w:t>, 2021</w:t>
      </w:r>
    </w:p>
    <w:p w:rsidR="005D64A5" w:rsidRDefault="005D64A5" w:rsidP="00BE4843">
      <w:pPr>
        <w:jc w:val="center"/>
        <w:rPr>
          <w:rFonts w:ascii="Times New Roman" w:hAnsi="Times New Roman"/>
          <w:b/>
          <w:sz w:val="24"/>
          <w:szCs w:val="24"/>
          <w:lang w:val="en-GB"/>
        </w:rPr>
      </w:pPr>
    </w:p>
    <w:p w:rsidR="00BE4843" w:rsidRDefault="00BE4843" w:rsidP="00BE4843">
      <w:pPr>
        <w:jc w:val="center"/>
      </w:pPr>
      <w:r>
        <w:rPr>
          <w:rFonts w:ascii="Times New Roman" w:hAnsi="Times New Roman"/>
          <w:b/>
          <w:sz w:val="24"/>
          <w:szCs w:val="24"/>
          <w:lang w:val="en-GB"/>
        </w:rPr>
        <w:t>CONTRACTING AUTHORITY’S CLARIFICATIONS No. 1</w:t>
      </w:r>
    </w:p>
    <w:p w:rsidR="006A30B8" w:rsidRPr="00BE4843" w:rsidRDefault="00BE4843" w:rsidP="00BE4843">
      <w:pPr>
        <w:jc w:val="center"/>
        <w:rPr>
          <w:rFonts w:ascii="Times New Roman" w:hAnsi="Times New Roman" w:cs="Times New Roman"/>
          <w:b/>
          <w:sz w:val="28"/>
          <w:szCs w:val="28"/>
          <w:lang w:val="en-US"/>
        </w:rPr>
      </w:pPr>
      <w:r w:rsidRPr="00BE4843">
        <w:rPr>
          <w:rFonts w:ascii="Times New Roman" w:hAnsi="Times New Roman" w:cs="Times New Roman"/>
          <w:b/>
          <w:sz w:val="28"/>
          <w:szCs w:val="28"/>
          <w:lang w:val="en-US"/>
        </w:rPr>
        <w:t xml:space="preserve">Construction and upgrading of municipal waste water collection and treatment system in </w:t>
      </w:r>
      <w:proofErr w:type="spellStart"/>
      <w:r w:rsidRPr="00BE4843">
        <w:rPr>
          <w:rFonts w:ascii="Times New Roman" w:hAnsi="Times New Roman" w:cs="Times New Roman"/>
          <w:b/>
          <w:sz w:val="28"/>
          <w:szCs w:val="28"/>
          <w:lang w:val="en-US"/>
        </w:rPr>
        <w:t>Kraljevo</w:t>
      </w:r>
      <w:proofErr w:type="spellEnd"/>
    </w:p>
    <w:p w:rsidR="00971480" w:rsidRDefault="003F4280" w:rsidP="00BE4843">
      <w:pPr>
        <w:jc w:val="center"/>
        <w:rPr>
          <w:rFonts w:ascii="Times New Roman" w:hAnsi="Times New Roman" w:cs="Times New Roman"/>
          <w:lang w:val="en-US"/>
        </w:rPr>
      </w:pPr>
      <w:r w:rsidRPr="008402A0">
        <w:rPr>
          <w:rFonts w:ascii="Times New Roman" w:hAnsi="Times New Roman" w:cs="Times New Roman"/>
          <w:b/>
          <w:u w:val="single"/>
          <w:lang w:val="en-US"/>
        </w:rPr>
        <w:t>Publication reference/Tender ID</w:t>
      </w:r>
      <w:r w:rsidRPr="008402A0">
        <w:rPr>
          <w:rFonts w:ascii="Times New Roman" w:hAnsi="Times New Roman" w:cs="Times New Roman"/>
          <w:lang w:val="en-US"/>
        </w:rPr>
        <w:t>:</w:t>
      </w:r>
      <w:r w:rsidR="00971480" w:rsidRPr="008402A0">
        <w:rPr>
          <w:rFonts w:ascii="Times New Roman" w:hAnsi="Times New Roman" w:cs="Times New Roman"/>
          <w:lang w:val="en-US"/>
        </w:rPr>
        <w:t xml:space="preserve"> </w:t>
      </w:r>
      <w:r w:rsidR="00991C28">
        <w:rPr>
          <w:rFonts w:ascii="Times New Roman" w:hAnsi="Times New Roman" w:cs="Times New Roman"/>
          <w:lang w:val="en-US"/>
        </w:rPr>
        <w:t xml:space="preserve">NEAR/BEG/2021/EA-OP/0098 - </w:t>
      </w:r>
      <w:r w:rsidR="00991C28" w:rsidRPr="00991C28">
        <w:rPr>
          <w:rFonts w:ascii="Times New Roman" w:hAnsi="Times New Roman" w:cs="Times New Roman"/>
          <w:lang w:val="en-US"/>
        </w:rPr>
        <w:t>17SER01/05/51</w:t>
      </w:r>
    </w:p>
    <w:p w:rsidR="00260AC4" w:rsidRPr="005D64A5" w:rsidRDefault="00BE4843" w:rsidP="005D64A5">
      <w:pPr>
        <w:jc w:val="both"/>
        <w:rPr>
          <w:rFonts w:ascii="Times New Roman" w:hAnsi="Times New Roman" w:cs="Times New Roman"/>
          <w:lang w:val="en-US"/>
        </w:rPr>
      </w:pPr>
      <w:r w:rsidRPr="005D64A5">
        <w:rPr>
          <w:rFonts w:ascii="Times New Roman" w:hAnsi="Times New Roman" w:cs="Times New Roman"/>
          <w:iCs/>
          <w:lang w:val="en-GB"/>
        </w:rPr>
        <w:t xml:space="preserve">Disclaimer: All requests for additional information must be </w:t>
      </w:r>
      <w:r w:rsidR="005D64A5">
        <w:rPr>
          <w:rFonts w:ascii="Times New Roman" w:hAnsi="Times New Roman" w:cs="Times New Roman"/>
          <w:iCs/>
          <w:lang w:val="en-GB"/>
        </w:rPr>
        <w:t xml:space="preserve">made in writing through the TED </w:t>
      </w:r>
      <w:proofErr w:type="spellStart"/>
      <w:r w:rsidRPr="005D64A5">
        <w:rPr>
          <w:rFonts w:ascii="Times New Roman" w:hAnsi="Times New Roman" w:cs="Times New Roman"/>
          <w:iCs/>
          <w:lang w:val="en-GB"/>
        </w:rPr>
        <w:t>eTendering</w:t>
      </w:r>
      <w:proofErr w:type="spellEnd"/>
      <w:r w:rsidRPr="005D64A5">
        <w:rPr>
          <w:rFonts w:ascii="Times New Roman" w:hAnsi="Times New Roman" w:cs="Times New Roman"/>
          <w:iCs/>
          <w:lang w:val="en-GB"/>
        </w:rPr>
        <w:t xml:space="preserve"> website accessible from the F&amp;T portal at </w:t>
      </w:r>
      <w:hyperlink r:id="rId8" w:history="1">
        <w:r w:rsidRPr="005D64A5">
          <w:rPr>
            <w:rStyle w:val="Hyperlink"/>
            <w:rFonts w:ascii="Times New Roman" w:hAnsi="Times New Roman" w:cs="Times New Roman"/>
            <w:iCs/>
            <w:lang w:val="en-GB"/>
          </w:rPr>
          <w:t>https://ec.europa.eu/info/funding-tenders/opportunities/portal/screen/home</w:t>
        </w:r>
      </w:hyperlink>
      <w:r w:rsidRPr="005D64A5">
        <w:rPr>
          <w:rFonts w:ascii="Times New Roman" w:hAnsi="Times New Roman" w:cs="Times New Roman"/>
          <w:iCs/>
          <w:lang w:val="en-GB"/>
        </w:rPr>
        <w:t xml:space="preserve"> ; and in line with other provisions for submission of the request for additional information specified in the Additional information about the Contract Notice. Contracting authority shall not accept any responsibility or liability in case of requests for additional information which are not submitted fully in line with applicable provisions for submission of the request for additional information. </w:t>
      </w:r>
    </w:p>
    <w:tbl>
      <w:tblPr>
        <w:tblStyle w:val="TableGrid"/>
        <w:tblW w:w="9265" w:type="dxa"/>
        <w:tblLook w:val="04A0" w:firstRow="1" w:lastRow="0" w:firstColumn="1" w:lastColumn="0" w:noHBand="0" w:noVBand="1"/>
      </w:tblPr>
      <w:tblGrid>
        <w:gridCol w:w="715"/>
        <w:gridCol w:w="4140"/>
        <w:gridCol w:w="4410"/>
      </w:tblGrid>
      <w:tr w:rsidR="005D64A5" w:rsidRPr="006D6F5D" w:rsidTr="005D64A5">
        <w:tc>
          <w:tcPr>
            <w:tcW w:w="715" w:type="dxa"/>
            <w:tcBorders>
              <w:bottom w:val="single" w:sz="4" w:space="0" w:color="auto"/>
            </w:tcBorders>
          </w:tcPr>
          <w:p w:rsidR="005D64A5" w:rsidRPr="006D6F5D" w:rsidRDefault="005D64A5" w:rsidP="006B13F6">
            <w:pPr>
              <w:jc w:val="center"/>
              <w:rPr>
                <w:rFonts w:ascii="Times New Roman" w:hAnsi="Times New Roman" w:cs="Times New Roman"/>
                <w:b/>
                <w:lang w:val="en-US"/>
              </w:rPr>
            </w:pPr>
            <w:r>
              <w:rPr>
                <w:rFonts w:ascii="Times New Roman" w:hAnsi="Times New Roman" w:cs="Times New Roman"/>
                <w:b/>
                <w:lang w:val="en-US"/>
              </w:rPr>
              <w:t>No.</w:t>
            </w:r>
          </w:p>
        </w:tc>
        <w:tc>
          <w:tcPr>
            <w:tcW w:w="4140" w:type="dxa"/>
            <w:tcBorders>
              <w:bottom w:val="single" w:sz="4" w:space="0" w:color="auto"/>
            </w:tcBorders>
          </w:tcPr>
          <w:p w:rsidR="005D64A5" w:rsidRPr="006D6F5D" w:rsidRDefault="005D64A5" w:rsidP="006B13F6">
            <w:pPr>
              <w:jc w:val="center"/>
              <w:rPr>
                <w:rFonts w:ascii="Times New Roman" w:hAnsi="Times New Roman" w:cs="Times New Roman"/>
                <w:b/>
                <w:lang w:val="en-US"/>
              </w:rPr>
            </w:pPr>
          </w:p>
          <w:p w:rsidR="005D64A5" w:rsidRPr="006D6F5D" w:rsidRDefault="005D64A5" w:rsidP="006B13F6">
            <w:pPr>
              <w:jc w:val="center"/>
              <w:rPr>
                <w:rFonts w:ascii="Times New Roman" w:hAnsi="Times New Roman" w:cs="Times New Roman"/>
                <w:b/>
                <w:lang w:val="en-US"/>
              </w:rPr>
            </w:pPr>
            <w:r>
              <w:rPr>
                <w:rFonts w:ascii="Times New Roman" w:hAnsi="Times New Roman" w:cs="Times New Roman"/>
                <w:b/>
                <w:lang w:val="en-US"/>
              </w:rPr>
              <w:t>Question</w:t>
            </w:r>
          </w:p>
          <w:p w:rsidR="005D64A5" w:rsidRPr="006D6F5D" w:rsidRDefault="005D64A5" w:rsidP="006B13F6">
            <w:pPr>
              <w:jc w:val="center"/>
              <w:rPr>
                <w:rFonts w:ascii="Times New Roman" w:hAnsi="Times New Roman" w:cs="Times New Roman"/>
                <w:b/>
                <w:lang w:val="en-US"/>
              </w:rPr>
            </w:pPr>
          </w:p>
        </w:tc>
        <w:tc>
          <w:tcPr>
            <w:tcW w:w="4410" w:type="dxa"/>
            <w:tcBorders>
              <w:bottom w:val="single" w:sz="4" w:space="0" w:color="auto"/>
            </w:tcBorders>
          </w:tcPr>
          <w:p w:rsidR="005D64A5" w:rsidRPr="006D6F5D" w:rsidRDefault="005D64A5" w:rsidP="006B13F6">
            <w:pPr>
              <w:jc w:val="center"/>
              <w:rPr>
                <w:rFonts w:ascii="Times New Roman" w:hAnsi="Times New Roman" w:cs="Times New Roman"/>
                <w:b/>
                <w:lang w:val="en-US"/>
              </w:rPr>
            </w:pPr>
          </w:p>
          <w:p w:rsidR="005D64A5" w:rsidRPr="006D6F5D" w:rsidRDefault="005D64A5" w:rsidP="006B13F6">
            <w:pPr>
              <w:jc w:val="center"/>
              <w:rPr>
                <w:rFonts w:ascii="Times New Roman" w:hAnsi="Times New Roman" w:cs="Times New Roman"/>
                <w:b/>
                <w:lang w:val="en-US"/>
              </w:rPr>
            </w:pPr>
            <w:r>
              <w:rPr>
                <w:rFonts w:ascii="Times New Roman" w:hAnsi="Times New Roman" w:cs="Times New Roman"/>
                <w:b/>
                <w:lang w:val="en-US"/>
              </w:rPr>
              <w:t>Answer</w:t>
            </w:r>
          </w:p>
          <w:p w:rsidR="005D64A5" w:rsidRPr="006D6F5D" w:rsidRDefault="005D64A5" w:rsidP="006B13F6">
            <w:pPr>
              <w:jc w:val="center"/>
              <w:rPr>
                <w:rFonts w:ascii="Times New Roman" w:hAnsi="Times New Roman" w:cs="Times New Roman"/>
                <w:b/>
                <w:lang w:val="en-US"/>
              </w:rPr>
            </w:pPr>
          </w:p>
        </w:tc>
      </w:tr>
      <w:tr w:rsidR="005D64A5" w:rsidRPr="00F9331E" w:rsidTr="005D64A5">
        <w:trPr>
          <w:trHeight w:val="800"/>
        </w:trPr>
        <w:tc>
          <w:tcPr>
            <w:tcW w:w="715" w:type="dxa"/>
          </w:tcPr>
          <w:p w:rsidR="005D64A5" w:rsidRPr="001548A4" w:rsidRDefault="005D64A5" w:rsidP="00991C28">
            <w:pPr>
              <w:pStyle w:val="ListParagraph"/>
              <w:ind w:left="67"/>
              <w:rPr>
                <w:rFonts w:ascii="Times New Roman" w:hAnsi="Times New Roman" w:cs="Times New Roman"/>
                <w:b/>
                <w:bCs/>
                <w:lang w:val="en-GB"/>
              </w:rPr>
            </w:pPr>
            <w:r>
              <w:rPr>
                <w:rFonts w:ascii="Times New Roman" w:hAnsi="Times New Roman" w:cs="Times New Roman"/>
                <w:b/>
                <w:bCs/>
                <w:lang w:val="en-GB"/>
              </w:rPr>
              <w:t>1.</w:t>
            </w:r>
          </w:p>
        </w:tc>
        <w:tc>
          <w:tcPr>
            <w:tcW w:w="4140" w:type="dxa"/>
          </w:tcPr>
          <w:p w:rsidR="005D64A5" w:rsidRPr="001548A4" w:rsidRDefault="005D64A5" w:rsidP="00991C28">
            <w:pPr>
              <w:pStyle w:val="ListParagraph"/>
              <w:ind w:left="67"/>
              <w:rPr>
                <w:rFonts w:ascii="Times New Roman" w:hAnsi="Times New Roman" w:cs="Times New Roman"/>
                <w:b/>
                <w:bCs/>
                <w:lang w:val="en-GB"/>
              </w:rPr>
            </w:pPr>
            <w:r w:rsidRPr="001548A4">
              <w:rPr>
                <w:rFonts w:ascii="Times New Roman" w:hAnsi="Times New Roman" w:cs="Times New Roman"/>
                <w:b/>
                <w:bCs/>
                <w:lang w:val="en-GB"/>
              </w:rPr>
              <w:t xml:space="preserve">Reference: Volume 3.2 Particular technical requirements, Chapter 4.2.2 Spare and Wear Parts and Volume 3.1 General requirement, Chapter 7.11 Spare parts </w:t>
            </w:r>
          </w:p>
          <w:p w:rsidR="005D64A5" w:rsidRDefault="005D64A5" w:rsidP="00991C28">
            <w:pPr>
              <w:pStyle w:val="ListParagraph"/>
              <w:ind w:left="67"/>
              <w:rPr>
                <w:rFonts w:ascii="Times New Roman" w:hAnsi="Times New Roman" w:cs="Times New Roman"/>
                <w:bCs/>
                <w:lang w:val="en-GB"/>
              </w:rPr>
            </w:pPr>
          </w:p>
          <w:p w:rsidR="005D64A5" w:rsidRPr="00991C28" w:rsidRDefault="005D64A5" w:rsidP="00991C28">
            <w:pPr>
              <w:rPr>
                <w:rFonts w:ascii="Times New Roman" w:hAnsi="Times New Roman" w:cs="Times New Roman"/>
                <w:bCs/>
                <w:lang w:val="en-GB"/>
              </w:rPr>
            </w:pPr>
            <w:r w:rsidRPr="001548A4">
              <w:rPr>
                <w:rFonts w:ascii="Times New Roman" w:hAnsi="Times New Roman" w:cs="Times New Roman"/>
                <w:b/>
                <w:bCs/>
                <w:lang w:val="en-GB"/>
              </w:rPr>
              <w:t>Question</w:t>
            </w:r>
            <w:r w:rsidRPr="00991C28">
              <w:rPr>
                <w:rFonts w:ascii="Times New Roman" w:hAnsi="Times New Roman" w:cs="Times New Roman"/>
                <w:bCs/>
                <w:lang w:val="en-GB"/>
              </w:rPr>
              <w:t>:  In the Chapter 4.2.2. Spare and</w:t>
            </w:r>
          </w:p>
          <w:p w:rsidR="005D64A5" w:rsidRPr="001548A4" w:rsidRDefault="005D64A5" w:rsidP="001548A4">
            <w:pPr>
              <w:rPr>
                <w:rFonts w:ascii="Times New Roman" w:hAnsi="Times New Roman" w:cs="Times New Roman"/>
                <w:bCs/>
                <w:lang w:val="en-GB"/>
              </w:rPr>
            </w:pPr>
            <w:proofErr w:type="gramStart"/>
            <w:r w:rsidRPr="001548A4">
              <w:rPr>
                <w:rFonts w:ascii="Times New Roman" w:hAnsi="Times New Roman" w:cs="Times New Roman"/>
                <w:bCs/>
                <w:lang w:val="en-GB"/>
              </w:rPr>
              <w:t>wear</w:t>
            </w:r>
            <w:proofErr w:type="gramEnd"/>
            <w:r w:rsidRPr="001548A4">
              <w:rPr>
                <w:rFonts w:ascii="Times New Roman" w:hAnsi="Times New Roman" w:cs="Times New Roman"/>
                <w:bCs/>
                <w:lang w:val="en-GB"/>
              </w:rPr>
              <w:t xml:space="preserve"> parts of the Particular technical requirements it is stated that spare parts shall be supplied only for first year of the operation period after the issuance of the Taking over certificate. In the Chapter 7.11 Spare parts of the General requirement spare parts are requested for first two years of operation after the issuance of taking over ce</w:t>
            </w:r>
            <w:r>
              <w:rPr>
                <w:rFonts w:ascii="Times New Roman" w:hAnsi="Times New Roman" w:cs="Times New Roman"/>
                <w:bCs/>
                <w:lang w:val="en-GB"/>
              </w:rPr>
              <w:t xml:space="preserve">rtificate. Since the Particular </w:t>
            </w:r>
            <w:r w:rsidRPr="001548A4">
              <w:rPr>
                <w:rFonts w:ascii="Times New Roman" w:hAnsi="Times New Roman" w:cs="Times New Roman"/>
                <w:bCs/>
                <w:lang w:val="en-GB"/>
              </w:rPr>
              <w:t>requirements are prevailing kindly please confirm that spare parts shall be supplied only for 1 year of</w:t>
            </w:r>
            <w:r>
              <w:rPr>
                <w:rFonts w:ascii="Times New Roman" w:hAnsi="Times New Roman" w:cs="Times New Roman"/>
                <w:bCs/>
                <w:lang w:val="en-GB"/>
              </w:rPr>
              <w:t xml:space="preserve"> </w:t>
            </w:r>
            <w:r w:rsidRPr="001548A4">
              <w:rPr>
                <w:rFonts w:ascii="Times New Roman" w:hAnsi="Times New Roman" w:cs="Times New Roman"/>
                <w:bCs/>
                <w:lang w:val="en-GB"/>
              </w:rPr>
              <w:t>plant operation.</w:t>
            </w:r>
          </w:p>
        </w:tc>
        <w:tc>
          <w:tcPr>
            <w:tcW w:w="4410" w:type="dxa"/>
          </w:tcPr>
          <w:p w:rsidR="005D64A5" w:rsidRPr="00BE4843" w:rsidRDefault="005D64A5" w:rsidP="00BE4843">
            <w:pPr>
              <w:ind w:left="72"/>
              <w:rPr>
                <w:rFonts w:ascii="Times New Roman" w:hAnsi="Times New Roman" w:cs="Times New Roman"/>
                <w:lang w:val="en-US"/>
              </w:rPr>
            </w:pPr>
            <w:r w:rsidRPr="00BE4843">
              <w:rPr>
                <w:rFonts w:ascii="Times New Roman" w:hAnsi="Times New Roman" w:cs="Times New Roman"/>
                <w:lang w:val="en-US"/>
              </w:rPr>
              <w:t xml:space="preserve">Confirmed. Particular Requirements are prevailing. The Contractor shall supply all necessary wear parts for the first one (1) year of operation after issuance of the Taking-Over-Certificate for Works </w:t>
            </w:r>
          </w:p>
        </w:tc>
      </w:tr>
      <w:tr w:rsidR="005D64A5" w:rsidRPr="00F9331E" w:rsidTr="005D64A5">
        <w:trPr>
          <w:trHeight w:val="3887"/>
        </w:trPr>
        <w:tc>
          <w:tcPr>
            <w:tcW w:w="715" w:type="dxa"/>
          </w:tcPr>
          <w:p w:rsidR="005D64A5" w:rsidRPr="001548A4" w:rsidRDefault="005D64A5" w:rsidP="001548A4">
            <w:pPr>
              <w:jc w:val="both"/>
              <w:rPr>
                <w:rFonts w:ascii="Times New Roman" w:hAnsi="Times New Roman" w:cs="Times New Roman"/>
                <w:b/>
                <w:lang w:val="en-US"/>
              </w:rPr>
            </w:pPr>
            <w:r>
              <w:rPr>
                <w:rFonts w:ascii="Times New Roman" w:hAnsi="Times New Roman" w:cs="Times New Roman"/>
                <w:b/>
                <w:lang w:val="en-US"/>
              </w:rPr>
              <w:lastRenderedPageBreak/>
              <w:t>2.</w:t>
            </w:r>
          </w:p>
        </w:tc>
        <w:tc>
          <w:tcPr>
            <w:tcW w:w="4140" w:type="dxa"/>
          </w:tcPr>
          <w:p w:rsidR="005D64A5" w:rsidRDefault="005D64A5" w:rsidP="001548A4">
            <w:pPr>
              <w:jc w:val="both"/>
              <w:rPr>
                <w:rFonts w:ascii="Times New Roman" w:hAnsi="Times New Roman" w:cs="Times New Roman"/>
                <w:lang w:val="en-US"/>
              </w:rPr>
            </w:pPr>
            <w:r w:rsidRPr="001548A4">
              <w:rPr>
                <w:rFonts w:ascii="Times New Roman" w:hAnsi="Times New Roman" w:cs="Times New Roman"/>
                <w:b/>
                <w:lang w:val="en-US"/>
              </w:rPr>
              <w:t>Reference</w:t>
            </w:r>
            <w:r w:rsidRPr="001548A4">
              <w:rPr>
                <w:rFonts w:ascii="Times New Roman" w:hAnsi="Times New Roman" w:cs="Times New Roman"/>
                <w:lang w:val="en-US"/>
              </w:rPr>
              <w:t xml:space="preserve">: </w:t>
            </w:r>
            <w:r w:rsidRPr="001548A4">
              <w:rPr>
                <w:rFonts w:ascii="Times New Roman" w:hAnsi="Times New Roman" w:cs="Times New Roman"/>
                <w:b/>
                <w:lang w:val="en-US"/>
              </w:rPr>
              <w:t>Volume 3.2 Particular technical requirements, Chapter 4. 11 Biological treatment and Chapter 4.11.8 Effluent disinfection.</w:t>
            </w:r>
          </w:p>
          <w:p w:rsidR="005D64A5" w:rsidRDefault="005D64A5" w:rsidP="001548A4">
            <w:pPr>
              <w:jc w:val="both"/>
              <w:rPr>
                <w:rFonts w:ascii="Times New Roman" w:hAnsi="Times New Roman" w:cs="Times New Roman"/>
                <w:lang w:val="en-US"/>
              </w:rPr>
            </w:pPr>
          </w:p>
          <w:p w:rsidR="005D64A5" w:rsidRPr="001548A4" w:rsidRDefault="005D64A5" w:rsidP="001548A4">
            <w:pPr>
              <w:jc w:val="both"/>
              <w:rPr>
                <w:rFonts w:ascii="Times New Roman" w:hAnsi="Times New Roman" w:cs="Times New Roman"/>
                <w:lang w:val="en-US"/>
              </w:rPr>
            </w:pPr>
          </w:p>
          <w:p w:rsidR="005D64A5" w:rsidRPr="001548A4" w:rsidRDefault="005D64A5" w:rsidP="001548A4">
            <w:pPr>
              <w:jc w:val="both"/>
              <w:rPr>
                <w:rFonts w:ascii="Times New Roman" w:hAnsi="Times New Roman" w:cs="Times New Roman"/>
                <w:lang w:val="en-US"/>
              </w:rPr>
            </w:pPr>
            <w:r w:rsidRPr="001548A4">
              <w:rPr>
                <w:rFonts w:ascii="Times New Roman" w:hAnsi="Times New Roman" w:cs="Times New Roman"/>
                <w:b/>
                <w:lang w:val="en-US"/>
              </w:rPr>
              <w:t>Question:</w:t>
            </w:r>
            <w:r w:rsidRPr="001548A4">
              <w:rPr>
                <w:rFonts w:ascii="Times New Roman" w:hAnsi="Times New Roman" w:cs="Times New Roman"/>
                <w:lang w:val="en-US"/>
              </w:rPr>
              <w:t xml:space="preserve">   In the Chapter 4. Biological treat</w:t>
            </w:r>
            <w:r>
              <w:rPr>
                <w:rFonts w:ascii="Times New Roman" w:hAnsi="Times New Roman" w:cs="Times New Roman"/>
                <w:lang w:val="en-US"/>
              </w:rPr>
              <w:t xml:space="preserve">ment in the table on the </w:t>
            </w:r>
            <w:r w:rsidRPr="001548A4">
              <w:rPr>
                <w:rFonts w:ascii="Times New Roman" w:hAnsi="Times New Roman" w:cs="Times New Roman"/>
                <w:lang w:val="en-US"/>
              </w:rPr>
              <w:t>page 45 it is stated that effluent dis</w:t>
            </w:r>
            <w:r>
              <w:rPr>
                <w:rFonts w:ascii="Times New Roman" w:hAnsi="Times New Roman" w:cs="Times New Roman"/>
                <w:lang w:val="en-US"/>
              </w:rPr>
              <w:t xml:space="preserve">infection shall be designed and </w:t>
            </w:r>
            <w:r w:rsidRPr="001548A4">
              <w:rPr>
                <w:rFonts w:ascii="Times New Roman" w:hAnsi="Times New Roman" w:cs="Times New Roman"/>
                <w:lang w:val="en-US"/>
              </w:rPr>
              <w:t>built for final project stage a</w:t>
            </w:r>
            <w:r>
              <w:rPr>
                <w:rFonts w:ascii="Times New Roman" w:hAnsi="Times New Roman" w:cs="Times New Roman"/>
                <w:lang w:val="en-US"/>
              </w:rPr>
              <w:t xml:space="preserve">nd in the Chapter 4.11.8.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it </w:t>
            </w:r>
            <w:r w:rsidRPr="001548A4">
              <w:rPr>
                <w:rFonts w:ascii="Times New Roman" w:hAnsi="Times New Roman" w:cs="Times New Roman"/>
                <w:lang w:val="en-US"/>
              </w:rPr>
              <w:t xml:space="preserve">stipulated that effluent disinfection </w:t>
            </w:r>
            <w:r>
              <w:rPr>
                <w:rFonts w:ascii="Times New Roman" w:hAnsi="Times New Roman" w:cs="Times New Roman"/>
                <w:lang w:val="en-US"/>
              </w:rPr>
              <w:t xml:space="preserve">shall be designed and build for </w:t>
            </w:r>
            <w:r w:rsidRPr="001548A4">
              <w:rPr>
                <w:rFonts w:ascii="Times New Roman" w:hAnsi="Times New Roman" w:cs="Times New Roman"/>
                <w:lang w:val="en-US"/>
              </w:rPr>
              <w:t>the first project stage only.  Since the  hydraulic capacity of the</w:t>
            </w:r>
          </w:p>
          <w:p w:rsidR="005D64A5" w:rsidRPr="00D82DD1" w:rsidRDefault="005D64A5" w:rsidP="001548A4">
            <w:pPr>
              <w:jc w:val="both"/>
              <w:rPr>
                <w:rFonts w:ascii="Times New Roman" w:hAnsi="Times New Roman" w:cs="Times New Roman"/>
                <w:lang w:val="en-US"/>
              </w:rPr>
            </w:pPr>
            <w:proofErr w:type="gramStart"/>
            <w:r w:rsidRPr="001548A4">
              <w:rPr>
                <w:rFonts w:ascii="Times New Roman" w:hAnsi="Times New Roman" w:cs="Times New Roman"/>
                <w:lang w:val="en-US"/>
              </w:rPr>
              <w:t>final</w:t>
            </w:r>
            <w:proofErr w:type="gramEnd"/>
            <w:r w:rsidRPr="001548A4">
              <w:rPr>
                <w:rFonts w:ascii="Times New Roman" w:hAnsi="Times New Roman" w:cs="Times New Roman"/>
                <w:lang w:val="en-US"/>
              </w:rPr>
              <w:t xml:space="preserve"> stage is slightly higher than </w:t>
            </w:r>
            <w:r>
              <w:rPr>
                <w:rFonts w:ascii="Times New Roman" w:hAnsi="Times New Roman" w:cs="Times New Roman"/>
                <w:lang w:val="en-US"/>
              </w:rPr>
              <w:t xml:space="preserve">the capacity of the first stage </w:t>
            </w:r>
            <w:r w:rsidRPr="001548A4">
              <w:rPr>
                <w:rFonts w:ascii="Times New Roman" w:hAnsi="Times New Roman" w:cs="Times New Roman"/>
                <w:lang w:val="en-US"/>
              </w:rPr>
              <w:t xml:space="preserve">kindly please confirm that disinfection </w:t>
            </w:r>
            <w:r>
              <w:rPr>
                <w:rFonts w:ascii="Times New Roman" w:hAnsi="Times New Roman" w:cs="Times New Roman"/>
                <w:lang w:val="en-US"/>
              </w:rPr>
              <w:t xml:space="preserve">system shall be erected for the </w:t>
            </w:r>
            <w:r w:rsidRPr="001548A4">
              <w:rPr>
                <w:rFonts w:ascii="Times New Roman" w:hAnsi="Times New Roman" w:cs="Times New Roman"/>
                <w:lang w:val="en-US"/>
              </w:rPr>
              <w:t>final project stage.</w:t>
            </w:r>
          </w:p>
        </w:tc>
        <w:tc>
          <w:tcPr>
            <w:tcW w:w="4410" w:type="dxa"/>
          </w:tcPr>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 xml:space="preserve">Effluent disinfection shall be constructed in the first construction phase in accordance with requirements stipulated in the Chapter 4.11.8. </w:t>
            </w:r>
          </w:p>
          <w:p w:rsidR="005D64A5" w:rsidRPr="006D6F5D" w:rsidRDefault="001E3A7B" w:rsidP="001E3A7B">
            <w:pPr>
              <w:jc w:val="both"/>
              <w:rPr>
                <w:rFonts w:ascii="Times New Roman" w:hAnsi="Times New Roman" w:cs="Times New Roman"/>
                <w:lang w:val="en-US"/>
              </w:rPr>
            </w:pPr>
            <w:r w:rsidRPr="001E3A7B">
              <w:rPr>
                <w:rFonts w:ascii="Times New Roman" w:hAnsi="Times New Roman" w:cs="Times New Roman"/>
                <w:lang w:val="en-US"/>
              </w:rPr>
              <w:t>Hydraulic capacity of the effluent channel for installation of the UV lamps shall correspond to the ultimate capacity of the WWTP. The Contractor shall make provisions for installation of additional lamps in the Phase II while maintaining appropriate hydraulic conditions for UV lamps and effective d</w:t>
            </w:r>
            <w:r>
              <w:rPr>
                <w:rFonts w:ascii="Times New Roman" w:hAnsi="Times New Roman" w:cs="Times New Roman"/>
                <w:lang w:val="en-US"/>
              </w:rPr>
              <w:t>isinfection during the Phase I.</w:t>
            </w:r>
          </w:p>
        </w:tc>
      </w:tr>
      <w:tr w:rsidR="005D64A5" w:rsidRPr="00F9331E" w:rsidTr="005D64A5">
        <w:trPr>
          <w:trHeight w:val="3887"/>
        </w:trPr>
        <w:tc>
          <w:tcPr>
            <w:tcW w:w="715" w:type="dxa"/>
          </w:tcPr>
          <w:p w:rsidR="005D64A5" w:rsidRDefault="005D64A5" w:rsidP="001548A4">
            <w:pPr>
              <w:jc w:val="both"/>
              <w:rPr>
                <w:rFonts w:ascii="Times New Roman" w:hAnsi="Times New Roman" w:cs="Times New Roman"/>
                <w:b/>
                <w:bCs/>
                <w:lang w:val="en-GB"/>
              </w:rPr>
            </w:pPr>
            <w:r>
              <w:rPr>
                <w:rFonts w:ascii="Times New Roman" w:hAnsi="Times New Roman" w:cs="Times New Roman"/>
                <w:b/>
                <w:bCs/>
                <w:lang w:val="en-GB"/>
              </w:rPr>
              <w:t>3.</w:t>
            </w:r>
          </w:p>
        </w:tc>
        <w:tc>
          <w:tcPr>
            <w:tcW w:w="4140" w:type="dxa"/>
          </w:tcPr>
          <w:p w:rsidR="005D64A5" w:rsidRDefault="005D64A5" w:rsidP="001548A4">
            <w:pPr>
              <w:jc w:val="both"/>
              <w:rPr>
                <w:rFonts w:ascii="Times New Roman" w:hAnsi="Times New Roman" w:cs="Times New Roman"/>
                <w:b/>
                <w:bCs/>
                <w:lang w:val="en-GB"/>
              </w:rPr>
            </w:pPr>
            <w:r>
              <w:rPr>
                <w:rFonts w:ascii="Times New Roman" w:hAnsi="Times New Roman" w:cs="Times New Roman"/>
                <w:b/>
                <w:bCs/>
                <w:lang w:val="en-GB"/>
              </w:rPr>
              <w:t xml:space="preserve"> Reference: </w:t>
            </w:r>
            <w:r w:rsidRPr="001548A4">
              <w:rPr>
                <w:rFonts w:ascii="Times New Roman" w:hAnsi="Times New Roman" w:cs="Times New Roman"/>
                <w:b/>
                <w:bCs/>
                <w:lang w:val="en-GB"/>
              </w:rPr>
              <w:t xml:space="preserve">Volume 3.2, Chapter 4.10.4 </w:t>
            </w:r>
            <w:proofErr w:type="spellStart"/>
            <w:r w:rsidRPr="001548A4">
              <w:rPr>
                <w:rFonts w:ascii="Times New Roman" w:hAnsi="Times New Roman" w:cs="Times New Roman"/>
                <w:b/>
                <w:bCs/>
                <w:lang w:val="en-GB"/>
              </w:rPr>
              <w:t>Septage</w:t>
            </w:r>
            <w:proofErr w:type="spellEnd"/>
            <w:r w:rsidRPr="001548A4">
              <w:rPr>
                <w:rFonts w:ascii="Times New Roman" w:hAnsi="Times New Roman" w:cs="Times New Roman"/>
                <w:b/>
                <w:bCs/>
                <w:lang w:val="en-GB"/>
              </w:rPr>
              <w:t xml:space="preserve"> sludge receiving station  </w:t>
            </w:r>
          </w:p>
          <w:p w:rsidR="005D64A5" w:rsidRDefault="005D64A5" w:rsidP="001548A4">
            <w:pPr>
              <w:jc w:val="both"/>
              <w:rPr>
                <w:rFonts w:ascii="Times New Roman" w:hAnsi="Times New Roman" w:cs="Times New Roman"/>
                <w:b/>
                <w:bCs/>
                <w:lang w:val="en-GB"/>
              </w:rPr>
            </w:pPr>
          </w:p>
          <w:p w:rsidR="005D64A5" w:rsidRPr="0086112E" w:rsidRDefault="005D64A5" w:rsidP="001548A4">
            <w:pPr>
              <w:jc w:val="both"/>
              <w:rPr>
                <w:rFonts w:ascii="Times New Roman" w:hAnsi="Times New Roman" w:cs="Times New Roman"/>
                <w:b/>
                <w:bCs/>
                <w:lang w:val="en-GB"/>
              </w:rPr>
            </w:pPr>
            <w:r w:rsidRPr="001548A4">
              <w:rPr>
                <w:rFonts w:ascii="Times New Roman" w:hAnsi="Times New Roman" w:cs="Times New Roman"/>
                <w:b/>
                <w:bCs/>
                <w:lang w:val="en-GB"/>
              </w:rPr>
              <w:t>Question:</w:t>
            </w:r>
            <w:r>
              <w:rPr>
                <w:rFonts w:ascii="Times New Roman" w:hAnsi="Times New Roman" w:cs="Times New Roman"/>
                <w:b/>
                <w:bCs/>
                <w:lang w:val="en-GB"/>
              </w:rPr>
              <w:t xml:space="preserve"> </w:t>
            </w:r>
            <w:r w:rsidRPr="001548A4">
              <w:rPr>
                <w:rFonts w:ascii="Times New Roman" w:hAnsi="Times New Roman" w:cs="Times New Roman"/>
                <w:bCs/>
                <w:lang w:val="en-GB"/>
              </w:rPr>
              <w:t xml:space="preserve">please advise the daily quantity of the </w:t>
            </w:r>
            <w:proofErr w:type="spellStart"/>
            <w:r w:rsidRPr="001548A4">
              <w:rPr>
                <w:rFonts w:ascii="Times New Roman" w:hAnsi="Times New Roman" w:cs="Times New Roman"/>
                <w:bCs/>
                <w:lang w:val="en-GB"/>
              </w:rPr>
              <w:t>septage</w:t>
            </w:r>
            <w:proofErr w:type="spellEnd"/>
            <w:r w:rsidRPr="001548A4">
              <w:rPr>
                <w:rFonts w:ascii="Times New Roman" w:hAnsi="Times New Roman" w:cs="Times New Roman"/>
                <w:bCs/>
                <w:lang w:val="en-GB"/>
              </w:rPr>
              <w:t xml:space="preserve"> sludge being discharge on the WWTP, as well as number of discharges per day.</w:t>
            </w:r>
          </w:p>
        </w:tc>
        <w:tc>
          <w:tcPr>
            <w:tcW w:w="4410" w:type="dxa"/>
          </w:tcPr>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PUC “</w:t>
            </w:r>
            <w:proofErr w:type="spellStart"/>
            <w:r w:rsidRPr="001E3A7B">
              <w:rPr>
                <w:rFonts w:ascii="Times New Roman" w:hAnsi="Times New Roman" w:cs="Times New Roman"/>
                <w:lang w:val="en-US"/>
              </w:rPr>
              <w:t>Vodovod</w:t>
            </w:r>
            <w:proofErr w:type="spellEnd"/>
            <w:r w:rsidRPr="001E3A7B">
              <w:rPr>
                <w:rFonts w:ascii="Times New Roman" w:hAnsi="Times New Roman" w:cs="Times New Roman"/>
                <w:lang w:val="en-US"/>
              </w:rPr>
              <w:t xml:space="preserve">” </w:t>
            </w:r>
            <w:proofErr w:type="spellStart"/>
            <w:r w:rsidRPr="001E3A7B">
              <w:rPr>
                <w:rFonts w:ascii="Times New Roman" w:hAnsi="Times New Roman" w:cs="Times New Roman"/>
                <w:lang w:val="en-US"/>
              </w:rPr>
              <w:t>Kraljevo</w:t>
            </w:r>
            <w:proofErr w:type="spellEnd"/>
            <w:r w:rsidRPr="001E3A7B">
              <w:rPr>
                <w:rFonts w:ascii="Times New Roman" w:hAnsi="Times New Roman" w:cs="Times New Roman"/>
                <w:lang w:val="en-US"/>
              </w:rPr>
              <w:t xml:space="preserve"> is provided with two trucks, each of 8 m3 delivery capacity. At present there are no other legal entities providing services of emptying septic tanks.</w:t>
            </w:r>
          </w:p>
          <w:p w:rsidR="001E3A7B" w:rsidRPr="001E3A7B" w:rsidRDefault="001E3A7B" w:rsidP="001E3A7B">
            <w:pPr>
              <w:jc w:val="both"/>
              <w:rPr>
                <w:rFonts w:ascii="Times New Roman" w:hAnsi="Times New Roman" w:cs="Times New Roman"/>
                <w:lang w:val="en-US"/>
              </w:rPr>
            </w:pPr>
          </w:p>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Number of services provided within the last three years were as follows:</w:t>
            </w:r>
          </w:p>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2018: 75 services of emptying septic tanks, up to 8 m3 volume each.</w:t>
            </w:r>
          </w:p>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2019: 66 services of emptying septic tanks, up to 8 m3 volume each.</w:t>
            </w:r>
          </w:p>
          <w:p w:rsidR="005D64A5" w:rsidRDefault="001E3A7B" w:rsidP="001E3A7B">
            <w:pPr>
              <w:jc w:val="both"/>
              <w:rPr>
                <w:rFonts w:ascii="Times New Roman" w:hAnsi="Times New Roman" w:cs="Times New Roman"/>
                <w:lang w:val="en-US"/>
              </w:rPr>
            </w:pPr>
            <w:r w:rsidRPr="001E3A7B">
              <w:rPr>
                <w:rFonts w:ascii="Times New Roman" w:hAnsi="Times New Roman" w:cs="Times New Roman"/>
                <w:lang w:val="en-US"/>
              </w:rPr>
              <w:t>2020: 101 services of emptying septic tanks, up to 8 m3 volume each.</w:t>
            </w:r>
          </w:p>
          <w:p w:rsidR="006D190C" w:rsidRDefault="006D190C" w:rsidP="001E3A7B">
            <w:pPr>
              <w:jc w:val="both"/>
              <w:rPr>
                <w:rFonts w:ascii="Times New Roman" w:hAnsi="Times New Roman" w:cs="Times New Roman"/>
                <w:lang w:val="en-US"/>
              </w:rPr>
            </w:pPr>
          </w:p>
          <w:p w:rsidR="006D190C" w:rsidRPr="006D190C" w:rsidRDefault="006D190C" w:rsidP="001E3A7B">
            <w:pPr>
              <w:jc w:val="both"/>
              <w:rPr>
                <w:rFonts w:ascii="Times New Roman" w:hAnsi="Times New Roman" w:cs="Times New Roman"/>
                <w:lang w:val="en-US"/>
              </w:rPr>
            </w:pPr>
            <w:r w:rsidRPr="006D190C">
              <w:rPr>
                <w:rFonts w:ascii="Times New Roman" w:hAnsi="Times New Roman" w:cs="Times New Roman"/>
                <w:lang w:val="en-US"/>
              </w:rPr>
              <w:t>Maximum quantity of septic sludge to be delivered on the WWTP site will not exceed 30 m3/day (2-3 discharges per day).</w:t>
            </w:r>
          </w:p>
        </w:tc>
      </w:tr>
      <w:tr w:rsidR="005D64A5" w:rsidRPr="00F9331E" w:rsidTr="005D64A5">
        <w:trPr>
          <w:trHeight w:val="1232"/>
        </w:trPr>
        <w:tc>
          <w:tcPr>
            <w:tcW w:w="715" w:type="dxa"/>
          </w:tcPr>
          <w:p w:rsidR="005D64A5" w:rsidRDefault="005D64A5" w:rsidP="00B227A4">
            <w:pPr>
              <w:pStyle w:val="ListParagraph"/>
              <w:ind w:left="67"/>
              <w:jc w:val="both"/>
              <w:rPr>
                <w:rFonts w:ascii="Times New Roman" w:hAnsi="Times New Roman" w:cs="Times New Roman"/>
                <w:b/>
                <w:bCs/>
                <w:lang w:val="en-GB"/>
              </w:rPr>
            </w:pPr>
            <w:r>
              <w:rPr>
                <w:rFonts w:ascii="Times New Roman" w:hAnsi="Times New Roman" w:cs="Times New Roman"/>
                <w:b/>
                <w:bCs/>
                <w:lang w:val="en-GB"/>
              </w:rPr>
              <w:t>4.</w:t>
            </w:r>
          </w:p>
        </w:tc>
        <w:tc>
          <w:tcPr>
            <w:tcW w:w="4140" w:type="dxa"/>
          </w:tcPr>
          <w:p w:rsidR="005D64A5" w:rsidRDefault="005D64A5" w:rsidP="00B227A4">
            <w:pPr>
              <w:pStyle w:val="ListParagraph"/>
              <w:ind w:left="67"/>
              <w:jc w:val="both"/>
              <w:rPr>
                <w:rFonts w:ascii="Times New Roman" w:hAnsi="Times New Roman" w:cs="Times New Roman"/>
                <w:b/>
                <w:bCs/>
                <w:lang w:val="en-GB"/>
              </w:rPr>
            </w:pPr>
            <w:r>
              <w:rPr>
                <w:rFonts w:ascii="Times New Roman" w:hAnsi="Times New Roman" w:cs="Times New Roman"/>
                <w:b/>
                <w:bCs/>
                <w:lang w:val="en-GB"/>
              </w:rPr>
              <w:t xml:space="preserve">Reference:  </w:t>
            </w:r>
            <w:r w:rsidRPr="001548A4">
              <w:rPr>
                <w:rFonts w:ascii="Times New Roman" w:hAnsi="Times New Roman" w:cs="Times New Roman"/>
                <w:b/>
                <w:bCs/>
                <w:lang w:val="en-GB"/>
              </w:rPr>
              <w:t>ITT point 12.2.1. b</w:t>
            </w:r>
            <w:r>
              <w:rPr>
                <w:rFonts w:ascii="Times New Roman" w:hAnsi="Times New Roman" w:cs="Times New Roman"/>
                <w:b/>
                <w:bCs/>
                <w:lang w:val="en-GB"/>
              </w:rPr>
              <w:t xml:space="preserve">) 2 "Technical and Professional </w:t>
            </w:r>
            <w:r w:rsidRPr="001548A4">
              <w:rPr>
                <w:rFonts w:ascii="Times New Roman" w:hAnsi="Times New Roman" w:cs="Times New Roman"/>
                <w:b/>
                <w:bCs/>
                <w:lang w:val="en-GB"/>
              </w:rPr>
              <w:t>capacity</w:t>
            </w:r>
          </w:p>
          <w:p w:rsidR="005D64A5" w:rsidRPr="001548A4" w:rsidRDefault="005D64A5" w:rsidP="00B227A4">
            <w:pPr>
              <w:pStyle w:val="ListParagraph"/>
              <w:ind w:left="67"/>
              <w:jc w:val="both"/>
              <w:rPr>
                <w:rFonts w:ascii="Times New Roman" w:hAnsi="Times New Roman" w:cs="Times New Roman"/>
                <w:b/>
                <w:bCs/>
                <w:lang w:val="en-GB"/>
              </w:rPr>
            </w:pPr>
          </w:p>
          <w:p w:rsidR="005D64A5" w:rsidRPr="00B227A4" w:rsidRDefault="005D64A5" w:rsidP="00B227A4">
            <w:pPr>
              <w:rPr>
                <w:rFonts w:ascii="Times New Roman" w:hAnsi="Times New Roman" w:cs="Times New Roman"/>
              </w:rPr>
            </w:pPr>
            <w:r w:rsidRPr="00B227A4">
              <w:rPr>
                <w:rFonts w:ascii="Times New Roman" w:hAnsi="Times New Roman" w:cs="Times New Roman"/>
                <w:b/>
              </w:rPr>
              <w:t xml:space="preserve">Question: </w:t>
            </w:r>
            <w:r w:rsidRPr="00B227A4">
              <w:rPr>
                <w:rFonts w:ascii="Times New Roman" w:hAnsi="Times New Roman" w:cs="Times New Roman"/>
              </w:rPr>
              <w:t>It's stated: "At t</w:t>
            </w:r>
            <w:r>
              <w:rPr>
                <w:rFonts w:ascii="Times New Roman" w:hAnsi="Times New Roman" w:cs="Times New Roman"/>
              </w:rPr>
              <w:t xml:space="preserve">he moment of tender submission, </w:t>
            </w:r>
            <w:r w:rsidRPr="00B227A4">
              <w:rPr>
                <w:rFonts w:ascii="Times New Roman" w:hAnsi="Times New Roman" w:cs="Times New Roman"/>
              </w:rPr>
              <w:t xml:space="preserve">the member(s) of the tenderer shall </w:t>
            </w:r>
            <w:r>
              <w:rPr>
                <w:rFonts w:ascii="Times New Roman" w:hAnsi="Times New Roman" w:cs="Times New Roman"/>
              </w:rPr>
              <w:t xml:space="preserve">have a professional license(s), </w:t>
            </w:r>
            <w:r w:rsidRPr="00B227A4">
              <w:rPr>
                <w:rFonts w:ascii="Times New Roman" w:hAnsi="Times New Roman" w:cs="Times New Roman"/>
              </w:rPr>
              <w:t xml:space="preserve">certificate(s) (or right), in accordance </w:t>
            </w:r>
            <w:r>
              <w:rPr>
                <w:rFonts w:ascii="Times New Roman" w:hAnsi="Times New Roman" w:cs="Times New Roman"/>
              </w:rPr>
              <w:t xml:space="preserve">with the laws of the country in </w:t>
            </w:r>
            <w:r w:rsidRPr="00B227A4">
              <w:rPr>
                <w:rFonts w:ascii="Times New Roman" w:hAnsi="Times New Roman" w:cs="Times New Roman"/>
              </w:rPr>
              <w:t>which they are established (or equivalent) for the execution of the</w:t>
            </w:r>
          </w:p>
          <w:p w:rsidR="005D64A5" w:rsidRPr="00B227A4" w:rsidRDefault="005D64A5" w:rsidP="00B227A4">
            <w:pPr>
              <w:rPr>
                <w:rFonts w:ascii="Times New Roman" w:hAnsi="Times New Roman" w:cs="Times New Roman"/>
              </w:rPr>
            </w:pPr>
            <w:r w:rsidRPr="00B227A4">
              <w:rPr>
                <w:rFonts w:ascii="Times New Roman" w:hAnsi="Times New Roman" w:cs="Times New Roman"/>
              </w:rPr>
              <w:t>Works." We are aware of two impor</w:t>
            </w:r>
            <w:r>
              <w:rPr>
                <w:rFonts w:ascii="Times New Roman" w:hAnsi="Times New Roman" w:cs="Times New Roman"/>
              </w:rPr>
              <w:t xml:space="preserve">tant demands:  1) that Tenderer </w:t>
            </w:r>
            <w:r w:rsidRPr="00B227A4">
              <w:rPr>
                <w:rFonts w:ascii="Times New Roman" w:hAnsi="Times New Roman" w:cs="Times New Roman"/>
              </w:rPr>
              <w:t xml:space="preserve">must be licensed </w:t>
            </w:r>
            <w:r w:rsidRPr="00B227A4">
              <w:rPr>
                <w:rFonts w:ascii="Times New Roman" w:hAnsi="Times New Roman" w:cs="Times New Roman"/>
              </w:rPr>
              <w:lastRenderedPageBreak/>
              <w:t>for execution o</w:t>
            </w:r>
            <w:r>
              <w:rPr>
                <w:rFonts w:ascii="Times New Roman" w:hAnsi="Times New Roman" w:cs="Times New Roman"/>
              </w:rPr>
              <w:t xml:space="preserve">f Works in the moment of tender </w:t>
            </w:r>
            <w:r w:rsidRPr="00B227A4">
              <w:rPr>
                <w:rFonts w:ascii="Times New Roman" w:hAnsi="Times New Roman" w:cs="Times New Roman"/>
              </w:rPr>
              <w:t>submission and  2) that capacity of the WWTP Kraljevo is 425 l/s (as</w:t>
            </w:r>
          </w:p>
          <w:p w:rsidR="005D64A5" w:rsidRPr="00B227A4" w:rsidRDefault="005D64A5" w:rsidP="00B227A4">
            <w:pPr>
              <w:rPr>
                <w:rFonts w:ascii="Times New Roman" w:hAnsi="Times New Roman" w:cs="Times New Roman"/>
              </w:rPr>
            </w:pPr>
            <w:r w:rsidRPr="00B227A4">
              <w:rPr>
                <w:rFonts w:ascii="Times New Roman" w:hAnsi="Times New Roman" w:cs="Times New Roman"/>
              </w:rPr>
              <w:t>defined in Volume 3.2 Particular Technical Requirements Ta</w:t>
            </w:r>
            <w:r>
              <w:rPr>
                <w:rFonts w:ascii="Times New Roman" w:hAnsi="Times New Roman" w:cs="Times New Roman"/>
              </w:rPr>
              <w:t xml:space="preserve">ble 7 – Phase </w:t>
            </w:r>
            <w:r w:rsidRPr="00B227A4">
              <w:rPr>
                <w:rFonts w:ascii="Times New Roman" w:hAnsi="Times New Roman" w:cs="Times New Roman"/>
              </w:rPr>
              <w:t>I = 425 l/s, page 31) which exceeds mandatory licensing for capacity</w:t>
            </w:r>
          </w:p>
          <w:p w:rsidR="005D64A5" w:rsidRPr="00B227A4" w:rsidRDefault="005D64A5" w:rsidP="00B227A4">
            <w:pPr>
              <w:rPr>
                <w:rFonts w:ascii="Times New Roman" w:hAnsi="Times New Roman" w:cs="Times New Roman"/>
              </w:rPr>
            </w:pPr>
            <w:r w:rsidRPr="00B227A4">
              <w:rPr>
                <w:rFonts w:ascii="Times New Roman" w:hAnsi="Times New Roman" w:cs="Times New Roman"/>
              </w:rPr>
              <w:t>above 200 l/s (according to the Article 9</w:t>
            </w:r>
            <w:r>
              <w:rPr>
                <w:rFonts w:ascii="Times New Roman" w:hAnsi="Times New Roman" w:cs="Times New Roman"/>
              </w:rPr>
              <w:t xml:space="preserve">, sub-article 7 of the Rulebook </w:t>
            </w:r>
            <w:r w:rsidRPr="00B227A4">
              <w:rPr>
                <w:rFonts w:ascii="Times New Roman" w:hAnsi="Times New Roman" w:cs="Times New Roman"/>
              </w:rPr>
              <w:t>on the manner, procedure and cont</w:t>
            </w:r>
            <w:r>
              <w:rPr>
                <w:rFonts w:ascii="Times New Roman" w:hAnsi="Times New Roman" w:cs="Times New Roman"/>
              </w:rPr>
              <w:t xml:space="preserve">ent of data for determining the </w:t>
            </w:r>
            <w:r w:rsidRPr="00B227A4">
              <w:rPr>
                <w:rFonts w:ascii="Times New Roman" w:hAnsi="Times New Roman" w:cs="Times New Roman"/>
              </w:rPr>
              <w:t>fulfilment of conditions for issuin</w:t>
            </w:r>
            <w:r>
              <w:rPr>
                <w:rFonts w:ascii="Times New Roman" w:hAnsi="Times New Roman" w:cs="Times New Roman"/>
              </w:rPr>
              <w:t xml:space="preserve">g a license for preparation of </w:t>
            </w:r>
            <w:r w:rsidRPr="00B227A4">
              <w:rPr>
                <w:rFonts w:ascii="Times New Roman" w:hAnsi="Times New Roman" w:cs="Times New Roman"/>
              </w:rPr>
              <w:t>technical documentation and license for</w:t>
            </w:r>
            <w:r>
              <w:rPr>
                <w:rFonts w:ascii="Times New Roman" w:hAnsi="Times New Roman" w:cs="Times New Roman"/>
              </w:rPr>
              <w:t xml:space="preserve"> construction of facilities for </w:t>
            </w:r>
            <w:r w:rsidRPr="00B227A4">
              <w:rPr>
                <w:rFonts w:ascii="Times New Roman" w:hAnsi="Times New Roman" w:cs="Times New Roman"/>
              </w:rPr>
              <w:t>which construction permit is permitted,</w:t>
            </w:r>
            <w:r>
              <w:rPr>
                <w:rFonts w:ascii="Times New Roman" w:hAnsi="Times New Roman" w:cs="Times New Roman"/>
              </w:rPr>
              <w:t xml:space="preserve"> Off. Gazette no. 24/2015), but </w:t>
            </w:r>
            <w:r w:rsidRPr="00B227A4">
              <w:rPr>
                <w:rFonts w:ascii="Times New Roman" w:hAnsi="Times New Roman" w:cs="Times New Roman"/>
              </w:rPr>
              <w:t>still it is not specified the exact typ</w:t>
            </w:r>
            <w:r>
              <w:rPr>
                <w:rFonts w:ascii="Times New Roman" w:hAnsi="Times New Roman" w:cs="Times New Roman"/>
              </w:rPr>
              <w:t xml:space="preserve">e of required licenses? Can you </w:t>
            </w:r>
            <w:r w:rsidRPr="00B227A4">
              <w:rPr>
                <w:rFonts w:ascii="Times New Roman" w:hAnsi="Times New Roman" w:cs="Times New Roman"/>
              </w:rPr>
              <w:t>please specify the list of the exact type of licenses? We would</w:t>
            </w:r>
          </w:p>
          <w:p w:rsidR="005D64A5" w:rsidRPr="00B227A4" w:rsidRDefault="005D64A5" w:rsidP="00B227A4">
            <w:pPr>
              <w:rPr>
                <w:rFonts w:ascii="Times New Roman" w:hAnsi="Times New Roman" w:cs="Times New Roman"/>
              </w:rPr>
            </w:pPr>
            <w:r w:rsidRPr="00B227A4">
              <w:rPr>
                <w:rFonts w:ascii="Times New Roman" w:hAnsi="Times New Roman" w:cs="Times New Roman"/>
              </w:rPr>
              <w:t>appreciate prompt reply related to th</w:t>
            </w:r>
            <w:r>
              <w:rPr>
                <w:rFonts w:ascii="Times New Roman" w:hAnsi="Times New Roman" w:cs="Times New Roman"/>
              </w:rPr>
              <w:t xml:space="preserve">e type of licenses, as they are </w:t>
            </w:r>
            <w:r w:rsidRPr="00B227A4">
              <w:rPr>
                <w:rFonts w:ascii="Times New Roman" w:hAnsi="Times New Roman" w:cs="Times New Roman"/>
              </w:rPr>
              <w:t>essential for the bid preparation.</w:t>
            </w:r>
          </w:p>
        </w:tc>
        <w:tc>
          <w:tcPr>
            <w:tcW w:w="4410" w:type="dxa"/>
          </w:tcPr>
          <w:p w:rsidR="005D64A5" w:rsidRPr="00194CF4" w:rsidRDefault="005D64A5" w:rsidP="00BE4843">
            <w:pPr>
              <w:jc w:val="both"/>
              <w:rPr>
                <w:rFonts w:ascii="Times New Roman" w:hAnsi="Times New Roman" w:cs="Times New Roman"/>
                <w:lang w:val="en-US"/>
              </w:rPr>
            </w:pPr>
          </w:p>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At the moment of Tender submission, the Tenderers shall present licenses of relevance for the Works under this Tender in accordance with legislation of the country in which they are established. Only successful Tenderer will be required to obtain all necessary licenses in accordance with the laws of the Republic of Serbia. (  ITT 12.2.1 b) 2 )</w:t>
            </w:r>
          </w:p>
          <w:p w:rsidR="001E3A7B" w:rsidRPr="001E3A7B" w:rsidRDefault="001E3A7B" w:rsidP="001E3A7B">
            <w:pPr>
              <w:jc w:val="both"/>
              <w:rPr>
                <w:rFonts w:ascii="Times New Roman" w:hAnsi="Times New Roman" w:cs="Times New Roman"/>
                <w:lang w:val="en-US"/>
              </w:rPr>
            </w:pPr>
          </w:p>
          <w:p w:rsidR="005D64A5" w:rsidRPr="00194CF4" w:rsidRDefault="001E3A7B" w:rsidP="001E3A7B">
            <w:pPr>
              <w:jc w:val="both"/>
              <w:rPr>
                <w:rFonts w:ascii="Times New Roman" w:hAnsi="Times New Roman" w:cs="Times New Roman"/>
                <w:b/>
                <w:lang w:val="en-US"/>
              </w:rPr>
            </w:pPr>
            <w:r w:rsidRPr="001E3A7B">
              <w:rPr>
                <w:rFonts w:ascii="Times New Roman" w:hAnsi="Times New Roman" w:cs="Times New Roman"/>
                <w:lang w:val="en-US"/>
              </w:rPr>
              <w:t xml:space="preserve">The Contractor shall have obtained licenses for Design (П073Г3, П073M2, П073Т1) and </w:t>
            </w:r>
            <w:r w:rsidRPr="001E3A7B">
              <w:rPr>
                <w:rFonts w:ascii="Times New Roman" w:hAnsi="Times New Roman" w:cs="Times New Roman"/>
                <w:lang w:val="en-US"/>
              </w:rPr>
              <w:lastRenderedPageBreak/>
              <w:t>Construction (И073Г3, И073M2) of the WWTP as stipulated in the Rulebook on the procedure and evidence required for evaluation of compliance with the requirements for issuing the License for preparation of technical documentation and the License for construction for the facilities that are subject to Construction Permit issued by the Ministry or Autonomous Province as well as conditions for their cancelation (O.G. RS no. 2015)</w:t>
            </w:r>
            <w:r w:rsidRPr="00194CF4">
              <w:rPr>
                <w:rFonts w:ascii="Times New Roman" w:hAnsi="Times New Roman" w:cs="Times New Roman"/>
                <w:b/>
                <w:lang w:val="en-US"/>
              </w:rPr>
              <w:t xml:space="preserve"> </w:t>
            </w:r>
          </w:p>
        </w:tc>
      </w:tr>
      <w:tr w:rsidR="005D64A5" w:rsidRPr="00F9331E" w:rsidTr="005D64A5">
        <w:trPr>
          <w:trHeight w:val="1520"/>
        </w:trPr>
        <w:tc>
          <w:tcPr>
            <w:tcW w:w="715" w:type="dxa"/>
          </w:tcPr>
          <w:p w:rsidR="005D64A5" w:rsidRPr="00B227A4" w:rsidRDefault="005D64A5" w:rsidP="00B227A4">
            <w:pPr>
              <w:jc w:val="both"/>
              <w:rPr>
                <w:rFonts w:ascii="Times New Roman" w:hAnsi="Times New Roman" w:cs="Times New Roman"/>
                <w:b/>
                <w:bCs/>
                <w:lang w:val="en-GB"/>
              </w:rPr>
            </w:pPr>
            <w:r>
              <w:rPr>
                <w:rFonts w:ascii="Times New Roman" w:hAnsi="Times New Roman" w:cs="Times New Roman"/>
                <w:b/>
                <w:bCs/>
                <w:lang w:val="en-GB"/>
              </w:rPr>
              <w:lastRenderedPageBreak/>
              <w:t>5.</w:t>
            </w:r>
          </w:p>
        </w:tc>
        <w:tc>
          <w:tcPr>
            <w:tcW w:w="4140" w:type="dxa"/>
          </w:tcPr>
          <w:p w:rsidR="005D64A5" w:rsidRPr="00B227A4" w:rsidRDefault="005D64A5" w:rsidP="00B227A4">
            <w:pPr>
              <w:jc w:val="both"/>
              <w:rPr>
                <w:rFonts w:ascii="Times New Roman" w:hAnsi="Times New Roman" w:cs="Times New Roman"/>
                <w:b/>
                <w:bCs/>
                <w:lang w:val="en-GB"/>
              </w:rPr>
            </w:pPr>
            <w:r w:rsidRPr="00B227A4">
              <w:rPr>
                <w:rFonts w:ascii="Times New Roman" w:hAnsi="Times New Roman" w:cs="Times New Roman"/>
                <w:b/>
                <w:bCs/>
                <w:lang w:val="en-GB"/>
              </w:rPr>
              <w:t xml:space="preserve"> Reference</w:t>
            </w:r>
            <w:r>
              <w:rPr>
                <w:rFonts w:ascii="Times New Roman" w:hAnsi="Times New Roman" w:cs="Times New Roman"/>
                <w:b/>
                <w:bCs/>
                <w:lang w:val="en-GB"/>
              </w:rPr>
              <w:t xml:space="preserve">: </w:t>
            </w:r>
            <w:r w:rsidRPr="00B227A4">
              <w:rPr>
                <w:rFonts w:ascii="Times New Roman" w:hAnsi="Times New Roman" w:cs="Times New Roman"/>
                <w:b/>
                <w:bCs/>
                <w:lang w:val="en-GB"/>
              </w:rPr>
              <w:t>Volume 1, Section 4, Form 4.6.10</w:t>
            </w:r>
          </w:p>
          <w:p w:rsidR="005D64A5" w:rsidRDefault="005D64A5" w:rsidP="0086112E">
            <w:pPr>
              <w:pStyle w:val="ListParagraph"/>
              <w:ind w:left="337" w:hanging="23"/>
              <w:jc w:val="both"/>
              <w:rPr>
                <w:rFonts w:ascii="Times New Roman" w:hAnsi="Times New Roman" w:cs="Times New Roman"/>
              </w:rPr>
            </w:pPr>
          </w:p>
          <w:p w:rsidR="005D64A5" w:rsidRPr="00B227A4" w:rsidRDefault="005D64A5" w:rsidP="00B227A4">
            <w:pPr>
              <w:ind w:hanging="23"/>
              <w:rPr>
                <w:rFonts w:ascii="Times New Roman" w:hAnsi="Times New Roman" w:cs="Times New Roman"/>
              </w:rPr>
            </w:pPr>
            <w:r w:rsidRPr="00B227A4">
              <w:rPr>
                <w:rFonts w:ascii="Times New Roman" w:hAnsi="Times New Roman" w:cs="Times New Roman"/>
                <w:b/>
              </w:rPr>
              <w:t>Question:</w:t>
            </w:r>
            <w:r>
              <w:rPr>
                <w:rFonts w:ascii="Times New Roman" w:hAnsi="Times New Roman" w:cs="Times New Roman"/>
                <w:b/>
              </w:rPr>
              <w:t xml:space="preserve"> </w:t>
            </w:r>
            <w:r w:rsidRPr="00B227A4">
              <w:rPr>
                <w:rFonts w:ascii="Times New Roman" w:hAnsi="Times New Roman" w:cs="Times New Roman"/>
              </w:rPr>
              <w:t>in the first paragraph it is</w:t>
            </w:r>
          </w:p>
          <w:p w:rsidR="005D64A5" w:rsidRPr="00B227A4" w:rsidRDefault="005D64A5" w:rsidP="00B227A4">
            <w:pPr>
              <w:ind w:hanging="23"/>
              <w:rPr>
                <w:rFonts w:ascii="Times New Roman" w:hAnsi="Times New Roman" w:cs="Times New Roman"/>
              </w:rPr>
            </w:pPr>
            <w:r w:rsidRPr="00B227A4">
              <w:rPr>
                <w:rFonts w:ascii="Times New Roman" w:hAnsi="Times New Roman" w:cs="Times New Roman"/>
              </w:rPr>
              <w:t>stated:  ‘’The Tender Evaluation Pric</w:t>
            </w:r>
            <w:r>
              <w:rPr>
                <w:rFonts w:ascii="Times New Roman" w:hAnsi="Times New Roman" w:cs="Times New Roman"/>
              </w:rPr>
              <w:t xml:space="preserve">e shall be comprised of Capital </w:t>
            </w:r>
            <w:r w:rsidRPr="00B227A4">
              <w:rPr>
                <w:rFonts w:ascii="Times New Roman" w:hAnsi="Times New Roman" w:cs="Times New Roman"/>
              </w:rPr>
              <w:t>costs (CAPEX) for completion of the Works and Net Present Value of</w:t>
            </w:r>
            <w:r>
              <w:rPr>
                <w:rFonts w:ascii="Times New Roman" w:hAnsi="Times New Roman" w:cs="Times New Roman"/>
              </w:rPr>
              <w:t xml:space="preserve"> </w:t>
            </w:r>
            <w:r w:rsidRPr="00B227A4">
              <w:rPr>
                <w:rFonts w:ascii="Times New Roman" w:hAnsi="Times New Roman" w:cs="Times New Roman"/>
              </w:rPr>
              <w:t>Operating Costs within 20 years of the WWTP operation.’’ On the other</w:t>
            </w:r>
          </w:p>
          <w:p w:rsidR="005D64A5" w:rsidRPr="00B227A4" w:rsidRDefault="005D64A5" w:rsidP="00B227A4">
            <w:pPr>
              <w:ind w:hanging="23"/>
              <w:rPr>
                <w:rFonts w:ascii="Times New Roman" w:hAnsi="Times New Roman" w:cs="Times New Roman"/>
              </w:rPr>
            </w:pPr>
            <w:r w:rsidRPr="00B227A4">
              <w:rPr>
                <w:rFonts w:ascii="Times New Roman" w:hAnsi="Times New Roman" w:cs="Times New Roman"/>
              </w:rPr>
              <w:t>hand, in the same form, the for</w:t>
            </w:r>
            <w:r>
              <w:rPr>
                <w:rFonts w:ascii="Times New Roman" w:hAnsi="Times New Roman" w:cs="Times New Roman"/>
              </w:rPr>
              <w:t xml:space="preserve">mula for calculating the Tender </w:t>
            </w:r>
            <w:r w:rsidRPr="00B227A4">
              <w:rPr>
                <w:rFonts w:ascii="Times New Roman" w:hAnsi="Times New Roman" w:cs="Times New Roman"/>
              </w:rPr>
              <w:t>Evaluation Price is presented as: ‘’ Tender Evaluation Price (TEP) =</w:t>
            </w:r>
            <w:r>
              <w:rPr>
                <w:rFonts w:ascii="Times New Roman" w:hAnsi="Times New Roman" w:cs="Times New Roman"/>
              </w:rPr>
              <w:t xml:space="preserve"> </w:t>
            </w:r>
            <w:r w:rsidRPr="00B227A4">
              <w:rPr>
                <w:rFonts w:ascii="Times New Roman" w:hAnsi="Times New Roman" w:cs="Times New Roman"/>
              </w:rPr>
              <w:t>CAPEX + Dayworks + 14 x OPEX’’  It is obvious that the discrepancy</w:t>
            </w:r>
          </w:p>
          <w:p w:rsidR="005D64A5" w:rsidRPr="00B227A4" w:rsidRDefault="005D64A5" w:rsidP="00B227A4">
            <w:pPr>
              <w:ind w:hanging="23"/>
              <w:rPr>
                <w:rFonts w:ascii="Times New Roman" w:hAnsi="Times New Roman" w:cs="Times New Roman"/>
              </w:rPr>
            </w:pPr>
            <w:r w:rsidRPr="00B227A4">
              <w:rPr>
                <w:rFonts w:ascii="Times New Roman" w:hAnsi="Times New Roman" w:cs="Times New Roman"/>
              </w:rPr>
              <w:t>between these two statements is in the number of calculated years of</w:t>
            </w:r>
            <w:r>
              <w:rPr>
                <w:rFonts w:ascii="Times New Roman" w:hAnsi="Times New Roman" w:cs="Times New Roman"/>
              </w:rPr>
              <w:t xml:space="preserve"> </w:t>
            </w:r>
            <w:r w:rsidRPr="00B227A4">
              <w:rPr>
                <w:rFonts w:ascii="Times New Roman" w:hAnsi="Times New Roman" w:cs="Times New Roman"/>
              </w:rPr>
              <w:t>WWTP operation. Please clarify which of two is correct, 14 or 20 years</w:t>
            </w:r>
            <w:r>
              <w:rPr>
                <w:rFonts w:ascii="Times New Roman" w:hAnsi="Times New Roman" w:cs="Times New Roman"/>
              </w:rPr>
              <w:t xml:space="preserve"> </w:t>
            </w:r>
            <w:r w:rsidRPr="00B227A4">
              <w:rPr>
                <w:rFonts w:ascii="Times New Roman" w:hAnsi="Times New Roman" w:cs="Times New Roman"/>
              </w:rPr>
              <w:t>of WWTP operations should be calculated?</w:t>
            </w:r>
          </w:p>
          <w:p w:rsidR="005D64A5" w:rsidRPr="00833B74" w:rsidRDefault="005D64A5" w:rsidP="00BF3B14">
            <w:pPr>
              <w:rPr>
                <w:rFonts w:ascii="Times New Roman" w:hAnsi="Times New Roman" w:cs="Times New Roman"/>
              </w:rPr>
            </w:pPr>
          </w:p>
        </w:tc>
        <w:tc>
          <w:tcPr>
            <w:tcW w:w="4410" w:type="dxa"/>
          </w:tcPr>
          <w:p w:rsidR="005D64A5" w:rsidRDefault="005D64A5" w:rsidP="00C021A9">
            <w:pPr>
              <w:jc w:val="both"/>
              <w:rPr>
                <w:rFonts w:ascii="Times New Roman" w:hAnsi="Times New Roman" w:cs="Times New Roman"/>
                <w:bCs/>
                <w:lang w:val="en-US"/>
              </w:rPr>
            </w:pPr>
            <w:r w:rsidRPr="001B45FD">
              <w:rPr>
                <w:rFonts w:ascii="Times New Roman" w:hAnsi="Times New Roman" w:cs="Times New Roman"/>
                <w:bCs/>
                <w:lang w:val="en-US"/>
              </w:rPr>
              <w:t xml:space="preserve">There is no any discrepancy. Number 14 </w:t>
            </w:r>
            <w:r>
              <w:rPr>
                <w:rFonts w:ascii="Times New Roman" w:hAnsi="Times New Roman" w:cs="Times New Roman"/>
                <w:bCs/>
                <w:lang w:val="en-US"/>
              </w:rPr>
              <w:t>in formula is</w:t>
            </w:r>
            <w:r w:rsidRPr="001B45FD">
              <w:rPr>
                <w:rFonts w:ascii="Times New Roman" w:hAnsi="Times New Roman" w:cs="Times New Roman"/>
                <w:bCs/>
                <w:lang w:val="en-US"/>
              </w:rPr>
              <w:t xml:space="preserve"> result of application N</w:t>
            </w:r>
            <w:r>
              <w:rPr>
                <w:rFonts w:ascii="Times New Roman" w:hAnsi="Times New Roman" w:cs="Times New Roman"/>
                <w:bCs/>
                <w:lang w:val="en-US"/>
              </w:rPr>
              <w:t>et Present Value C</w:t>
            </w:r>
            <w:r w:rsidRPr="001B45FD">
              <w:rPr>
                <w:rFonts w:ascii="Times New Roman" w:hAnsi="Times New Roman" w:cs="Times New Roman"/>
                <w:bCs/>
                <w:lang w:val="en-US"/>
              </w:rPr>
              <w:t xml:space="preserve">alculation on </w:t>
            </w:r>
            <w:r>
              <w:rPr>
                <w:rFonts w:ascii="Times New Roman" w:hAnsi="Times New Roman" w:cs="Times New Roman"/>
                <w:bCs/>
                <w:lang w:val="en-US"/>
              </w:rPr>
              <w:t>n=</w:t>
            </w:r>
            <w:r w:rsidRPr="001B45FD">
              <w:rPr>
                <w:rFonts w:ascii="Times New Roman" w:hAnsi="Times New Roman" w:cs="Times New Roman"/>
                <w:bCs/>
                <w:lang w:val="en-US"/>
              </w:rPr>
              <w:t xml:space="preserve">20 </w:t>
            </w:r>
            <w:r>
              <w:rPr>
                <w:rFonts w:ascii="Times New Roman" w:hAnsi="Times New Roman" w:cs="Times New Roman"/>
                <w:bCs/>
                <w:lang w:val="en-US"/>
              </w:rPr>
              <w:t>(</w:t>
            </w:r>
            <w:r w:rsidRPr="001B45FD">
              <w:rPr>
                <w:rFonts w:ascii="Times New Roman" w:hAnsi="Times New Roman" w:cs="Times New Roman"/>
                <w:bCs/>
                <w:lang w:val="en-US"/>
              </w:rPr>
              <w:t>years of operation</w:t>
            </w:r>
            <w:r>
              <w:rPr>
                <w:rFonts w:ascii="Times New Roman" w:hAnsi="Times New Roman" w:cs="Times New Roman"/>
                <w:bCs/>
                <w:lang w:val="en-US"/>
              </w:rPr>
              <w:t>)</w:t>
            </w:r>
            <w:r w:rsidRPr="001B45FD">
              <w:rPr>
                <w:rFonts w:ascii="Times New Roman" w:hAnsi="Times New Roman" w:cs="Times New Roman"/>
                <w:bCs/>
                <w:lang w:val="en-US"/>
              </w:rPr>
              <w:t xml:space="preserve">. </w:t>
            </w:r>
          </w:p>
          <w:p w:rsidR="005D64A5" w:rsidRDefault="005D64A5" w:rsidP="00C021A9">
            <w:pPr>
              <w:ind w:left="360"/>
              <w:jc w:val="both"/>
              <w:rPr>
                <w:rFonts w:ascii="Times New Roman" w:hAnsi="Times New Roman" w:cs="Times New Roman"/>
                <w:bCs/>
                <w:lang w:val="en-US"/>
              </w:rPr>
            </w:pPr>
          </w:p>
          <w:p w:rsidR="005D64A5" w:rsidRPr="00F9331E" w:rsidRDefault="005D64A5" w:rsidP="00C021A9">
            <w:pPr>
              <w:jc w:val="both"/>
              <w:rPr>
                <w:rFonts w:ascii="Times New Roman" w:hAnsi="Times New Roman" w:cs="Times New Roman"/>
                <w:b/>
                <w:highlight w:val="yellow"/>
                <w:lang w:val="en-US"/>
              </w:rPr>
            </w:pPr>
            <w:r w:rsidRPr="001B45FD">
              <w:rPr>
                <w:rFonts w:ascii="Times New Roman" w:hAnsi="Times New Roman" w:cs="Times New Roman"/>
                <w:bCs/>
                <w:lang w:val="en-US"/>
              </w:rPr>
              <w:t>The formula for calculation of TEP is as presented in the Form 4.6.10.</w:t>
            </w:r>
          </w:p>
        </w:tc>
      </w:tr>
      <w:tr w:rsidR="005D64A5" w:rsidRPr="00F9331E" w:rsidTr="005D64A5">
        <w:trPr>
          <w:trHeight w:val="620"/>
        </w:trPr>
        <w:tc>
          <w:tcPr>
            <w:tcW w:w="715" w:type="dxa"/>
          </w:tcPr>
          <w:p w:rsidR="005D64A5" w:rsidRDefault="005D64A5" w:rsidP="00B227A4">
            <w:pPr>
              <w:rPr>
                <w:rFonts w:ascii="Times New Roman" w:hAnsi="Times New Roman" w:cs="Times New Roman"/>
                <w:b/>
              </w:rPr>
            </w:pPr>
            <w:r>
              <w:rPr>
                <w:rFonts w:ascii="Times New Roman" w:hAnsi="Times New Roman" w:cs="Times New Roman"/>
                <w:b/>
              </w:rPr>
              <w:t>6.</w:t>
            </w:r>
          </w:p>
        </w:tc>
        <w:tc>
          <w:tcPr>
            <w:tcW w:w="4140" w:type="dxa"/>
            <w:shd w:val="clear" w:color="auto" w:fill="auto"/>
          </w:tcPr>
          <w:p w:rsidR="005D64A5" w:rsidRDefault="005D64A5" w:rsidP="00B227A4">
            <w:pPr>
              <w:rPr>
                <w:rFonts w:ascii="Times New Roman" w:hAnsi="Times New Roman" w:cs="Times New Roman"/>
                <w:b/>
              </w:rPr>
            </w:pPr>
            <w:r w:rsidRPr="00B227A4">
              <w:rPr>
                <w:rFonts w:ascii="Times New Roman" w:hAnsi="Times New Roman" w:cs="Times New Roman"/>
                <w:b/>
              </w:rPr>
              <w:t>Reference:</w:t>
            </w:r>
            <w:r>
              <w:t xml:space="preserve"> </w:t>
            </w:r>
            <w:r w:rsidRPr="00B227A4">
              <w:rPr>
                <w:rFonts w:ascii="Times New Roman" w:hAnsi="Times New Roman" w:cs="Times New Roman"/>
                <w:b/>
              </w:rPr>
              <w:t>Volume 1, Section 4, Form 4.6.11, in paragraph #7</w:t>
            </w:r>
          </w:p>
          <w:p w:rsidR="005D64A5" w:rsidRDefault="005D64A5" w:rsidP="00B227A4">
            <w:pPr>
              <w:rPr>
                <w:rFonts w:ascii="Times New Roman" w:hAnsi="Times New Roman" w:cs="Times New Roman"/>
                <w:b/>
              </w:rPr>
            </w:pPr>
          </w:p>
          <w:p w:rsidR="005D64A5" w:rsidRPr="00B227A4" w:rsidRDefault="005D64A5" w:rsidP="00B227A4">
            <w:pPr>
              <w:rPr>
                <w:rFonts w:ascii="Times New Roman" w:hAnsi="Times New Roman" w:cs="Times New Roman"/>
                <w:b/>
                <w:i/>
                <w:lang w:val="en-GB"/>
              </w:rPr>
            </w:pPr>
            <w:r>
              <w:rPr>
                <w:rFonts w:ascii="Times New Roman" w:hAnsi="Times New Roman" w:cs="Times New Roman"/>
                <w:b/>
              </w:rPr>
              <w:lastRenderedPageBreak/>
              <w:t>Question:</w:t>
            </w:r>
            <w:r>
              <w:rPr>
                <w:rFonts w:ascii="Times New Roman" w:hAnsi="Times New Roman" w:cs="Times New Roman"/>
                <w:b/>
                <w:lang w:val="en-GB"/>
              </w:rPr>
              <w:t xml:space="preserve"> </w:t>
            </w:r>
            <w:r w:rsidRPr="00B227A4">
              <w:rPr>
                <w:rFonts w:ascii="Times New Roman" w:hAnsi="Times New Roman" w:cs="Times New Roman"/>
              </w:rPr>
              <w:t>it is stated:</w:t>
            </w:r>
            <w:r>
              <w:rPr>
                <w:rFonts w:ascii="Times New Roman" w:hAnsi="Times New Roman" w:cs="Times New Roman"/>
                <w:b/>
                <w:lang w:val="en-GB"/>
              </w:rPr>
              <w:t xml:space="preserve"> </w:t>
            </w:r>
            <w:r w:rsidRPr="00B227A4">
              <w:rPr>
                <w:rFonts w:ascii="Times New Roman" w:hAnsi="Times New Roman" w:cs="Times New Roman"/>
              </w:rPr>
              <w:t>‘</w:t>
            </w:r>
            <w:r w:rsidRPr="00B227A4">
              <w:rPr>
                <w:rFonts w:ascii="Times New Roman" w:hAnsi="Times New Roman" w:cs="Times New Roman"/>
                <w:i/>
              </w:rPr>
              <w:t>’In case of failure to meet guaranteed annual electricity consumption</w:t>
            </w:r>
          </w:p>
          <w:p w:rsidR="005D64A5" w:rsidRPr="00B227A4" w:rsidRDefault="005D64A5" w:rsidP="00B227A4">
            <w:pPr>
              <w:ind w:hanging="23"/>
              <w:rPr>
                <w:rFonts w:ascii="Times New Roman" w:hAnsi="Times New Roman" w:cs="Times New Roman"/>
                <w:i/>
              </w:rPr>
            </w:pPr>
            <w:r w:rsidRPr="00B227A4">
              <w:rPr>
                <w:rFonts w:ascii="Times New Roman" w:hAnsi="Times New Roman" w:cs="Times New Roman"/>
                <w:i/>
              </w:rPr>
              <w:t xml:space="preserve">per treated volume of wastewater at </w:t>
            </w:r>
            <w:r>
              <w:rPr>
                <w:rFonts w:ascii="Times New Roman" w:hAnsi="Times New Roman" w:cs="Times New Roman"/>
                <w:i/>
              </w:rPr>
              <w:t xml:space="preserve">the end of the DNP, pursuant to </w:t>
            </w:r>
            <w:r w:rsidRPr="00B227A4">
              <w:rPr>
                <w:rFonts w:ascii="Times New Roman" w:hAnsi="Times New Roman" w:cs="Times New Roman"/>
                <w:i/>
              </w:rPr>
              <w:t>Sub-Clause 9.4 of the General Contract Conditions, the Contract price</w:t>
            </w:r>
            <w:r>
              <w:rPr>
                <w:rFonts w:ascii="Times New Roman" w:hAnsi="Times New Roman" w:cs="Times New Roman"/>
                <w:i/>
              </w:rPr>
              <w:t xml:space="preserve"> </w:t>
            </w:r>
            <w:r w:rsidRPr="00B227A4">
              <w:rPr>
                <w:rFonts w:ascii="Times New Roman" w:hAnsi="Times New Roman" w:cs="Times New Roman"/>
                <w:i/>
              </w:rPr>
              <w:t>shall be reduced for the difference between the actual and guaranteed</w:t>
            </w:r>
            <w:r>
              <w:rPr>
                <w:rFonts w:ascii="Times New Roman" w:hAnsi="Times New Roman" w:cs="Times New Roman"/>
                <w:i/>
              </w:rPr>
              <w:t xml:space="preserve"> </w:t>
            </w:r>
            <w:r w:rsidRPr="00B227A4">
              <w:rPr>
                <w:rFonts w:ascii="Times New Roman" w:hAnsi="Times New Roman" w:cs="Times New Roman"/>
                <w:i/>
              </w:rPr>
              <w:t>costs to be incurred by the End Recipient during 20 years of</w:t>
            </w:r>
            <w:r>
              <w:rPr>
                <w:rFonts w:ascii="Times New Roman" w:hAnsi="Times New Roman" w:cs="Times New Roman"/>
                <w:i/>
              </w:rPr>
              <w:t xml:space="preserve"> </w:t>
            </w:r>
            <w:r w:rsidRPr="00B227A4">
              <w:rPr>
                <w:rFonts w:ascii="Times New Roman" w:hAnsi="Times New Roman" w:cs="Times New Roman"/>
                <w:i/>
              </w:rPr>
              <w:t>operation:</w:t>
            </w:r>
            <w:r w:rsidRPr="00B227A4">
              <w:rPr>
                <w:rFonts w:ascii="Times New Roman" w:hAnsi="Times New Roman" w:cs="Times New Roman"/>
              </w:rPr>
              <w:t>’’.  On the other hand, the formula for calculating the</w:t>
            </w:r>
            <w:r>
              <w:rPr>
                <w:rFonts w:ascii="Times New Roman" w:hAnsi="Times New Roman" w:cs="Times New Roman"/>
                <w:i/>
              </w:rPr>
              <w:t xml:space="preserve"> </w:t>
            </w:r>
            <w:r w:rsidRPr="00B227A4">
              <w:rPr>
                <w:rFonts w:ascii="Times New Roman" w:hAnsi="Times New Roman" w:cs="Times New Roman"/>
              </w:rPr>
              <w:t>Remuneration costs is presented as: ‘’ REMUNERATION COSTS = (ACTUAL</w:t>
            </w:r>
            <w:r>
              <w:rPr>
                <w:rFonts w:ascii="Times New Roman" w:hAnsi="Times New Roman" w:cs="Times New Roman"/>
                <w:i/>
              </w:rPr>
              <w:t xml:space="preserve"> </w:t>
            </w:r>
            <w:r w:rsidRPr="00B227A4">
              <w:rPr>
                <w:rFonts w:ascii="Times New Roman" w:hAnsi="Times New Roman" w:cs="Times New Roman"/>
              </w:rPr>
              <w:t>COSTS (€/a) – GUARANTEED COSTS (€/a)) x 14’’  It is obvious that the</w:t>
            </w:r>
            <w:r>
              <w:rPr>
                <w:rFonts w:ascii="Times New Roman" w:hAnsi="Times New Roman" w:cs="Times New Roman"/>
                <w:i/>
              </w:rPr>
              <w:t xml:space="preserve"> </w:t>
            </w:r>
            <w:r w:rsidRPr="00B227A4">
              <w:rPr>
                <w:rFonts w:ascii="Times New Roman" w:hAnsi="Times New Roman" w:cs="Times New Roman"/>
              </w:rPr>
              <w:t>discrepancy between these two statements is in the number of calculated</w:t>
            </w:r>
          </w:p>
          <w:p w:rsidR="005D64A5" w:rsidRPr="00EC48AC" w:rsidRDefault="005D64A5" w:rsidP="00B227A4">
            <w:pPr>
              <w:ind w:hanging="23"/>
              <w:rPr>
                <w:rFonts w:ascii="Times New Roman" w:hAnsi="Times New Roman" w:cs="Times New Roman"/>
              </w:rPr>
            </w:pPr>
            <w:r w:rsidRPr="00B227A4">
              <w:rPr>
                <w:rFonts w:ascii="Times New Roman" w:hAnsi="Times New Roman" w:cs="Times New Roman"/>
              </w:rPr>
              <w:t>years of WWTP operation. Please clarify</w:t>
            </w:r>
            <w:r>
              <w:rPr>
                <w:rFonts w:ascii="Times New Roman" w:hAnsi="Times New Roman" w:cs="Times New Roman"/>
              </w:rPr>
              <w:t xml:space="preserve"> which of two is correct, 14 or </w:t>
            </w:r>
            <w:r w:rsidRPr="00B227A4">
              <w:rPr>
                <w:rFonts w:ascii="Times New Roman" w:hAnsi="Times New Roman" w:cs="Times New Roman"/>
              </w:rPr>
              <w:t>20 years of WWTP operations should be calculated?</w:t>
            </w:r>
          </w:p>
        </w:tc>
        <w:tc>
          <w:tcPr>
            <w:tcW w:w="4410" w:type="dxa"/>
          </w:tcPr>
          <w:p w:rsidR="005D64A5" w:rsidRPr="00C021A9" w:rsidRDefault="005D64A5" w:rsidP="00C021A9">
            <w:pPr>
              <w:jc w:val="both"/>
              <w:rPr>
                <w:rFonts w:ascii="Times New Roman" w:hAnsi="Times New Roman" w:cs="Times New Roman"/>
                <w:highlight w:val="yellow"/>
                <w:lang w:val="en-US"/>
              </w:rPr>
            </w:pPr>
            <w:r w:rsidRPr="00C021A9">
              <w:rPr>
                <w:rFonts w:ascii="Times New Roman" w:hAnsi="Times New Roman" w:cs="Times New Roman"/>
                <w:lang w:val="en-US"/>
              </w:rPr>
              <w:lastRenderedPageBreak/>
              <w:t>Please see answer on question no 5</w:t>
            </w:r>
          </w:p>
        </w:tc>
      </w:tr>
      <w:tr w:rsidR="005D64A5" w:rsidRPr="00F9331E" w:rsidTr="005D64A5">
        <w:trPr>
          <w:trHeight w:val="800"/>
        </w:trPr>
        <w:tc>
          <w:tcPr>
            <w:tcW w:w="715" w:type="dxa"/>
          </w:tcPr>
          <w:p w:rsidR="005D64A5" w:rsidRDefault="005D64A5" w:rsidP="00B227A4">
            <w:pPr>
              <w:rPr>
                <w:rFonts w:ascii="Times New Roman" w:hAnsi="Times New Roman" w:cs="Times New Roman"/>
                <w:b/>
                <w:lang w:val="en-GB"/>
              </w:rPr>
            </w:pPr>
            <w:r>
              <w:rPr>
                <w:rFonts w:ascii="Times New Roman" w:hAnsi="Times New Roman" w:cs="Times New Roman"/>
                <w:b/>
                <w:lang w:val="en-GB"/>
              </w:rPr>
              <w:t>7.</w:t>
            </w:r>
          </w:p>
        </w:tc>
        <w:tc>
          <w:tcPr>
            <w:tcW w:w="4140" w:type="dxa"/>
            <w:shd w:val="clear" w:color="auto" w:fill="auto"/>
          </w:tcPr>
          <w:p w:rsidR="005D64A5" w:rsidRDefault="005D64A5" w:rsidP="00B227A4">
            <w:pPr>
              <w:rPr>
                <w:rFonts w:ascii="Times New Roman" w:hAnsi="Times New Roman" w:cs="Times New Roman"/>
                <w:b/>
                <w:lang w:val="en-GB"/>
              </w:rPr>
            </w:pPr>
          </w:p>
          <w:p w:rsidR="005D64A5" w:rsidRDefault="005D64A5" w:rsidP="00B227A4">
            <w:pPr>
              <w:rPr>
                <w:rFonts w:ascii="Times New Roman" w:hAnsi="Times New Roman" w:cs="Times New Roman"/>
              </w:rPr>
            </w:pPr>
            <w:r w:rsidRPr="00B227A4">
              <w:rPr>
                <w:rFonts w:ascii="Times New Roman" w:hAnsi="Times New Roman" w:cs="Times New Roman"/>
                <w:b/>
              </w:rPr>
              <w:t>Question:</w:t>
            </w:r>
            <w:r>
              <w:rPr>
                <w:rFonts w:ascii="Times New Roman" w:hAnsi="Times New Roman" w:cs="Times New Roman"/>
              </w:rPr>
              <w:t xml:space="preserve"> </w:t>
            </w:r>
            <w:r w:rsidRPr="00B227A4">
              <w:rPr>
                <w:rFonts w:ascii="Times New Roman" w:hAnsi="Times New Roman" w:cs="Times New Roman"/>
              </w:rPr>
              <w:t>In case we submit offers for both l</w:t>
            </w:r>
            <w:r>
              <w:rPr>
                <w:rFonts w:ascii="Times New Roman" w:hAnsi="Times New Roman" w:cs="Times New Roman"/>
              </w:rPr>
              <w:t xml:space="preserve">ots, do we submit offers as two </w:t>
            </w:r>
            <w:r w:rsidRPr="00B227A4">
              <w:rPr>
                <w:rFonts w:ascii="Times New Roman" w:hAnsi="Times New Roman" w:cs="Times New Roman"/>
              </w:rPr>
              <w:t>separate envelopes (one for lot 1 and the other for lot 2)?</w:t>
            </w:r>
          </w:p>
          <w:p w:rsidR="005D64A5" w:rsidRPr="005F1964" w:rsidRDefault="005D64A5" w:rsidP="00801F75">
            <w:pPr>
              <w:rPr>
                <w:lang w:val="en-GB" w:eastAsia="en-US"/>
              </w:rPr>
            </w:pPr>
          </w:p>
        </w:tc>
        <w:tc>
          <w:tcPr>
            <w:tcW w:w="4410" w:type="dxa"/>
          </w:tcPr>
          <w:p w:rsidR="005D64A5" w:rsidRPr="00556BFB" w:rsidRDefault="005D64A5" w:rsidP="00BF3B14">
            <w:pPr>
              <w:ind w:left="360"/>
              <w:jc w:val="both"/>
              <w:rPr>
                <w:rFonts w:ascii="Times New Roman" w:hAnsi="Times New Roman" w:cs="Times New Roman"/>
                <w:lang w:val="en-US"/>
              </w:rPr>
            </w:pPr>
          </w:p>
          <w:p w:rsidR="005D64A5" w:rsidRDefault="006D190C" w:rsidP="00C021A9">
            <w:pPr>
              <w:jc w:val="both"/>
              <w:rPr>
                <w:rFonts w:ascii="Times New Roman" w:hAnsi="Times New Roman" w:cs="Times New Roman"/>
                <w:lang w:val="en-US"/>
              </w:rPr>
            </w:pPr>
            <w:r w:rsidRPr="006D190C">
              <w:rPr>
                <w:rFonts w:ascii="Times New Roman" w:hAnsi="Times New Roman" w:cs="Times New Roman"/>
                <w:lang w:val="en-US"/>
              </w:rPr>
              <w:t>The offers shall be submitted in one envelope/package, unless their volume requires a separate submission for each lot. Please refer to Vol. 1, Section 1, Instructions to Tenderers, sub-clause 17.2</w:t>
            </w:r>
          </w:p>
          <w:p w:rsidR="006D190C" w:rsidRPr="00556BFB" w:rsidRDefault="006D190C" w:rsidP="00C021A9">
            <w:pPr>
              <w:jc w:val="both"/>
              <w:rPr>
                <w:rFonts w:ascii="Times New Roman" w:hAnsi="Times New Roman" w:cs="Times New Roman"/>
                <w:lang w:val="en-US"/>
              </w:rPr>
            </w:pPr>
          </w:p>
        </w:tc>
      </w:tr>
      <w:tr w:rsidR="005D64A5" w:rsidRPr="00F9331E" w:rsidTr="005D64A5">
        <w:trPr>
          <w:trHeight w:val="1340"/>
        </w:trPr>
        <w:tc>
          <w:tcPr>
            <w:tcW w:w="715" w:type="dxa"/>
          </w:tcPr>
          <w:p w:rsidR="005D64A5" w:rsidRDefault="005D64A5" w:rsidP="001B4D23">
            <w:pPr>
              <w:jc w:val="both"/>
              <w:rPr>
                <w:rFonts w:ascii="Times New Roman" w:hAnsi="Times New Roman" w:cs="Times New Roman"/>
                <w:b/>
              </w:rPr>
            </w:pPr>
            <w:r>
              <w:rPr>
                <w:rFonts w:ascii="Times New Roman" w:hAnsi="Times New Roman" w:cs="Times New Roman"/>
                <w:b/>
              </w:rPr>
              <w:t>8.</w:t>
            </w:r>
          </w:p>
        </w:tc>
        <w:tc>
          <w:tcPr>
            <w:tcW w:w="4140" w:type="dxa"/>
          </w:tcPr>
          <w:p w:rsidR="005D64A5" w:rsidRPr="00534254" w:rsidRDefault="005D64A5" w:rsidP="001B4D23">
            <w:pPr>
              <w:jc w:val="both"/>
              <w:rPr>
                <w:rFonts w:ascii="Times New Roman" w:hAnsi="Times New Roman" w:cs="Times New Roman"/>
                <w:b/>
                <w:bCs/>
                <w:iCs/>
              </w:rPr>
            </w:pPr>
            <w:r>
              <w:rPr>
                <w:rFonts w:ascii="Times New Roman" w:hAnsi="Times New Roman" w:cs="Times New Roman"/>
                <w:b/>
              </w:rPr>
              <w:t>Tender Form</w:t>
            </w:r>
          </w:p>
          <w:p w:rsidR="005D64A5" w:rsidRDefault="005D64A5" w:rsidP="00BF3B14">
            <w:pPr>
              <w:rPr>
                <w:rFonts w:ascii="Times New Roman" w:hAnsi="Times New Roman" w:cs="Times New Roman"/>
              </w:rPr>
            </w:pPr>
          </w:p>
          <w:p w:rsidR="005D64A5" w:rsidRPr="005129C4" w:rsidRDefault="005D64A5" w:rsidP="00534254">
            <w:pPr>
              <w:rPr>
                <w:rFonts w:ascii="Times New Roman" w:hAnsi="Times New Roman" w:cs="Times New Roman"/>
              </w:rPr>
            </w:pPr>
            <w:r w:rsidRPr="005129C4">
              <w:rPr>
                <w:rFonts w:ascii="Times New Roman" w:hAnsi="Times New Roman" w:cs="Times New Roman"/>
                <w:b/>
              </w:rPr>
              <w:t>Question</w:t>
            </w:r>
            <w:r>
              <w:rPr>
                <w:rFonts w:ascii="Times New Roman" w:hAnsi="Times New Roman" w:cs="Times New Roman"/>
              </w:rPr>
              <w:t>:</w:t>
            </w:r>
            <w:r>
              <w:t xml:space="preserve"> </w:t>
            </w:r>
            <w:r w:rsidRPr="00534254">
              <w:rPr>
                <w:rFonts w:ascii="Times New Roman" w:hAnsi="Times New Roman" w:cs="Times New Roman"/>
              </w:rPr>
              <w:t xml:space="preserve">Should we fill in the "Tender form" document </w:t>
            </w:r>
            <w:r>
              <w:rPr>
                <w:rFonts w:ascii="Times New Roman" w:hAnsi="Times New Roman" w:cs="Times New Roman"/>
              </w:rPr>
              <w:t xml:space="preserve">(Volume 1, </w:t>
            </w:r>
            <w:r w:rsidRPr="00534254">
              <w:rPr>
                <w:rFonts w:ascii="Times New Roman" w:hAnsi="Times New Roman" w:cs="Times New Roman"/>
              </w:rPr>
              <w:t>Section 2) for each lot individually or one document for both lots?</w:t>
            </w:r>
          </w:p>
        </w:tc>
        <w:tc>
          <w:tcPr>
            <w:tcW w:w="4410" w:type="dxa"/>
          </w:tcPr>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t xml:space="preserve">If the members of consortium are the same for both Lots, then one joint Tender Form can be submitted, following the template provided in Tender Dossier, Volume 1, </w:t>
            </w:r>
            <w:proofErr w:type="gramStart"/>
            <w:r w:rsidRPr="006D190C">
              <w:rPr>
                <w:rFonts w:ascii="Times New Roman" w:hAnsi="Times New Roman" w:cs="Times New Roman"/>
                <w:lang w:val="en-US"/>
              </w:rPr>
              <w:t>Section</w:t>
            </w:r>
            <w:proofErr w:type="gramEnd"/>
            <w:r w:rsidRPr="006D190C">
              <w:rPr>
                <w:rFonts w:ascii="Times New Roman" w:hAnsi="Times New Roman" w:cs="Times New Roman"/>
                <w:lang w:val="en-US"/>
              </w:rPr>
              <w:t xml:space="preserve"> 2. </w:t>
            </w:r>
          </w:p>
          <w:p w:rsidR="005D64A5" w:rsidRPr="005129C4" w:rsidRDefault="006D190C" w:rsidP="006D190C">
            <w:pPr>
              <w:jc w:val="both"/>
              <w:rPr>
                <w:rFonts w:ascii="Times New Roman" w:hAnsi="Times New Roman" w:cs="Times New Roman"/>
                <w:highlight w:val="yellow"/>
                <w:lang w:val="en-US"/>
              </w:rPr>
            </w:pPr>
            <w:r w:rsidRPr="006D190C">
              <w:rPr>
                <w:rFonts w:ascii="Times New Roman" w:hAnsi="Times New Roman" w:cs="Times New Roman"/>
                <w:lang w:val="en-US"/>
              </w:rPr>
              <w:t>If the members of consortium differ for Lot 1 and Lot 2, please submit a separate Tender Form for each lot.</w:t>
            </w:r>
          </w:p>
        </w:tc>
      </w:tr>
      <w:tr w:rsidR="005D64A5" w:rsidRPr="00F9331E" w:rsidTr="005D64A5">
        <w:trPr>
          <w:trHeight w:val="1160"/>
        </w:trPr>
        <w:tc>
          <w:tcPr>
            <w:tcW w:w="715" w:type="dxa"/>
          </w:tcPr>
          <w:p w:rsidR="005D64A5" w:rsidRDefault="005D64A5" w:rsidP="001B4D23">
            <w:pPr>
              <w:rPr>
                <w:rFonts w:ascii="Times New Roman" w:hAnsi="Times New Roman" w:cs="Times New Roman"/>
                <w:b/>
              </w:rPr>
            </w:pPr>
            <w:r>
              <w:rPr>
                <w:rFonts w:ascii="Times New Roman" w:hAnsi="Times New Roman" w:cs="Times New Roman"/>
                <w:b/>
              </w:rPr>
              <w:t>9.</w:t>
            </w:r>
          </w:p>
        </w:tc>
        <w:tc>
          <w:tcPr>
            <w:tcW w:w="4140" w:type="dxa"/>
          </w:tcPr>
          <w:p w:rsidR="005D64A5" w:rsidRDefault="005D64A5" w:rsidP="001B4D23">
            <w:pPr>
              <w:rPr>
                <w:rFonts w:ascii="Times New Roman" w:hAnsi="Times New Roman" w:cs="Times New Roman"/>
                <w:b/>
              </w:rPr>
            </w:pPr>
          </w:p>
          <w:p w:rsidR="005D64A5" w:rsidRDefault="005D64A5" w:rsidP="005129C4">
            <w:pPr>
              <w:rPr>
                <w:rFonts w:ascii="Times New Roman" w:hAnsi="Times New Roman" w:cs="Times New Roman"/>
              </w:rPr>
            </w:pPr>
            <w:r>
              <w:rPr>
                <w:rFonts w:ascii="Times New Roman" w:hAnsi="Times New Roman" w:cs="Times New Roman"/>
                <w:b/>
              </w:rPr>
              <w:t xml:space="preserve">Question: </w:t>
            </w:r>
            <w:r w:rsidRPr="005129C4">
              <w:rPr>
                <w:rFonts w:ascii="Times New Roman" w:hAnsi="Times New Roman" w:cs="Times New Roman"/>
              </w:rPr>
              <w:t>Documents named “EN-TD+LOT+1” and “EN-T</w:t>
            </w:r>
            <w:r>
              <w:rPr>
                <w:rFonts w:ascii="Times New Roman" w:hAnsi="Times New Roman" w:cs="Times New Roman"/>
              </w:rPr>
              <w:t xml:space="preserve">D+LOT+2” are not opening. Could </w:t>
            </w:r>
            <w:r w:rsidRPr="005129C4">
              <w:rPr>
                <w:rFonts w:ascii="Times New Roman" w:hAnsi="Times New Roman" w:cs="Times New Roman"/>
              </w:rPr>
              <w:t>you please share them with us again?</w:t>
            </w:r>
          </w:p>
          <w:p w:rsidR="005D64A5" w:rsidRPr="005129C4" w:rsidRDefault="005D64A5" w:rsidP="005129C4">
            <w:pPr>
              <w:rPr>
                <w:rFonts w:ascii="Times New Roman" w:hAnsi="Times New Roman" w:cs="Times New Roman"/>
              </w:rPr>
            </w:pPr>
          </w:p>
        </w:tc>
        <w:tc>
          <w:tcPr>
            <w:tcW w:w="4410" w:type="dxa"/>
          </w:tcPr>
          <w:p w:rsidR="005D64A5" w:rsidRPr="00C021A9" w:rsidRDefault="005D64A5" w:rsidP="00C021A9">
            <w:pPr>
              <w:rPr>
                <w:rFonts w:ascii="Times New Roman" w:hAnsi="Times New Roman" w:cs="Times New Roman"/>
                <w:highlight w:val="yellow"/>
                <w:lang w:val="en-US"/>
              </w:rPr>
            </w:pPr>
            <w:r w:rsidRPr="00C021A9">
              <w:rPr>
                <w:rFonts w:ascii="Times New Roman" w:hAnsi="Times New Roman" w:cs="Times New Roman"/>
                <w:lang w:val="en-US"/>
              </w:rPr>
              <w:t xml:space="preserve">Please try again, if the problem persist </w:t>
            </w:r>
            <w:r>
              <w:rPr>
                <w:rFonts w:ascii="CG Times" w:hAnsi="CG Times" w:cs="Times New Roman"/>
                <w:lang w:val="en-US"/>
              </w:rPr>
              <w:t xml:space="preserve">contact us on </w:t>
            </w:r>
            <w:hyperlink r:id="rId9" w:history="1">
              <w:r w:rsidRPr="008F6C8B">
                <w:rPr>
                  <w:rStyle w:val="Hyperlink"/>
                  <w:rFonts w:ascii="CG Times" w:hAnsi="CG Times"/>
                </w:rPr>
                <w:t>cfcu.questions@mfin.gov.rs</w:t>
              </w:r>
            </w:hyperlink>
            <w:r>
              <w:rPr>
                <w:rFonts w:ascii="CG Times" w:hAnsi="CG Times"/>
                <w:color w:val="000000"/>
              </w:rPr>
              <w:t xml:space="preserve"> </w:t>
            </w:r>
            <w:r>
              <w:rPr>
                <w:color w:val="000000"/>
              </w:rPr>
              <w:t xml:space="preserve">  </w:t>
            </w:r>
          </w:p>
        </w:tc>
      </w:tr>
      <w:tr w:rsidR="005D64A5" w:rsidRPr="00EF6833" w:rsidTr="005D64A5">
        <w:tc>
          <w:tcPr>
            <w:tcW w:w="715" w:type="dxa"/>
          </w:tcPr>
          <w:p w:rsidR="005D64A5" w:rsidRPr="005129C4" w:rsidRDefault="005D64A5" w:rsidP="005129C4">
            <w:pPr>
              <w:rPr>
                <w:rFonts w:ascii="Times New Roman" w:hAnsi="Times New Roman" w:cs="Times New Roman"/>
                <w:b/>
                <w:bCs/>
                <w:lang w:val="en-GB" w:eastAsia="en-US"/>
              </w:rPr>
            </w:pPr>
            <w:r>
              <w:rPr>
                <w:rFonts w:ascii="Times New Roman" w:hAnsi="Times New Roman" w:cs="Times New Roman"/>
                <w:b/>
                <w:bCs/>
                <w:lang w:val="en-GB" w:eastAsia="en-US"/>
              </w:rPr>
              <w:t>10.</w:t>
            </w:r>
          </w:p>
        </w:tc>
        <w:tc>
          <w:tcPr>
            <w:tcW w:w="4140" w:type="dxa"/>
          </w:tcPr>
          <w:p w:rsidR="005D64A5" w:rsidRPr="005129C4" w:rsidRDefault="005D64A5" w:rsidP="005129C4">
            <w:pPr>
              <w:rPr>
                <w:rFonts w:ascii="Times New Roman" w:hAnsi="Times New Roman" w:cs="Times New Roman"/>
                <w:b/>
              </w:rPr>
            </w:pPr>
            <w:r w:rsidRPr="005129C4">
              <w:rPr>
                <w:rFonts w:ascii="Times New Roman" w:hAnsi="Times New Roman" w:cs="Times New Roman"/>
                <w:b/>
                <w:bCs/>
                <w:lang w:val="en-GB" w:eastAsia="en-US"/>
              </w:rPr>
              <w:t xml:space="preserve"> </w:t>
            </w:r>
            <w:r>
              <w:rPr>
                <w:rFonts w:ascii="Times New Roman" w:hAnsi="Times New Roman" w:cs="Times New Roman"/>
                <w:b/>
                <w:bCs/>
                <w:lang w:val="en-GB" w:eastAsia="en-US"/>
              </w:rPr>
              <w:t>ITT</w:t>
            </w:r>
          </w:p>
          <w:p w:rsidR="005D64A5" w:rsidRDefault="005D64A5" w:rsidP="007B1BD9">
            <w:pPr>
              <w:pStyle w:val="ListParagraph"/>
              <w:ind w:left="1080"/>
              <w:jc w:val="center"/>
              <w:rPr>
                <w:rFonts w:ascii="Times New Roman" w:hAnsi="Times New Roman" w:cs="Times New Roman"/>
                <w:b/>
                <w:bCs/>
                <w:lang w:val="en-GB" w:eastAsia="en-US"/>
              </w:rPr>
            </w:pPr>
          </w:p>
          <w:p w:rsidR="005D64A5" w:rsidRPr="001B4D23" w:rsidRDefault="005D64A5" w:rsidP="001B4D23">
            <w:pPr>
              <w:jc w:val="both"/>
              <w:rPr>
                <w:rFonts w:ascii="Times New Roman" w:hAnsi="Times New Roman" w:cs="Times New Roman"/>
                <w:bCs/>
                <w:lang w:val="en-GB" w:eastAsia="en-US"/>
              </w:rPr>
            </w:pPr>
            <w:r w:rsidRPr="001B4D23">
              <w:rPr>
                <w:rFonts w:ascii="Times New Roman" w:hAnsi="Times New Roman" w:cs="Times New Roman"/>
                <w:b/>
                <w:bCs/>
                <w:lang w:val="en-GB" w:eastAsia="en-US"/>
              </w:rPr>
              <w:t xml:space="preserve">Question: </w:t>
            </w:r>
            <w:r w:rsidRPr="001B4D23">
              <w:rPr>
                <w:rFonts w:ascii="Times New Roman" w:hAnsi="Times New Roman" w:cs="Times New Roman"/>
                <w:bCs/>
                <w:lang w:val="en-GB" w:eastAsia="en-US"/>
              </w:rPr>
              <w:t>For the technical qualifications; can we use on-going projects for meet</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the criteria. For instance, in the ITT there is written as “a) Tenderers</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 xml:space="preserve">are allowed to refer </w:t>
            </w:r>
            <w:r w:rsidRPr="001B4D23">
              <w:rPr>
                <w:rFonts w:ascii="Times New Roman" w:hAnsi="Times New Roman" w:cs="Times New Roman"/>
                <w:bCs/>
                <w:lang w:val="en-GB" w:eastAsia="en-US"/>
              </w:rPr>
              <w:lastRenderedPageBreak/>
              <w:t>either to contracts completed within the reference</w:t>
            </w:r>
          </w:p>
          <w:p w:rsidR="005D64A5" w:rsidRPr="001B4D23" w:rsidRDefault="005D64A5" w:rsidP="001B4D23">
            <w:pPr>
              <w:jc w:val="both"/>
              <w:rPr>
                <w:rFonts w:ascii="Times New Roman" w:hAnsi="Times New Roman" w:cs="Times New Roman"/>
                <w:bCs/>
                <w:lang w:val="en-GB" w:eastAsia="en-US"/>
              </w:rPr>
            </w:pPr>
            <w:proofErr w:type="gramStart"/>
            <w:r w:rsidRPr="001B4D23">
              <w:rPr>
                <w:rFonts w:ascii="Times New Roman" w:hAnsi="Times New Roman" w:cs="Times New Roman"/>
                <w:bCs/>
                <w:lang w:val="en-GB" w:eastAsia="en-US"/>
              </w:rPr>
              <w:t>period</w:t>
            </w:r>
            <w:proofErr w:type="gramEnd"/>
            <w:r w:rsidRPr="001B4D23">
              <w:rPr>
                <w:rFonts w:ascii="Times New Roman" w:hAnsi="Times New Roman" w:cs="Times New Roman"/>
                <w:bCs/>
                <w:lang w:val="en-GB" w:eastAsia="en-US"/>
              </w:rPr>
              <w:t xml:space="preserve"> (although started earlier) or to contracts not yet completed.</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Only the portion satisfactorily completed during the reference period</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(although started earlier) will be taken into consideration. This</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portion will have to be supported by documentary evidence (statement or</w:t>
            </w:r>
          </w:p>
          <w:p w:rsidR="005D64A5" w:rsidRPr="001B4D23" w:rsidRDefault="005D64A5" w:rsidP="001B4D23">
            <w:pPr>
              <w:jc w:val="both"/>
              <w:rPr>
                <w:rFonts w:ascii="Times New Roman" w:hAnsi="Times New Roman" w:cs="Times New Roman"/>
                <w:bCs/>
                <w:lang w:val="en-GB" w:eastAsia="en-US"/>
              </w:rPr>
            </w:pPr>
            <w:r w:rsidRPr="001B4D23">
              <w:rPr>
                <w:rFonts w:ascii="Times New Roman" w:hAnsi="Times New Roman" w:cs="Times New Roman"/>
                <w:bCs/>
                <w:lang w:val="en-GB" w:eastAsia="en-US"/>
              </w:rPr>
              <w:t>certificate from the entity that awarded the contract or proof of final</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payment) also detailing its value.” From the above information, can we</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use on-going project? If we can; what percentage of the project should</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have been completed?</w:t>
            </w:r>
          </w:p>
          <w:p w:rsidR="005D64A5" w:rsidRPr="00F05DA9" w:rsidRDefault="005D64A5" w:rsidP="001B4D23">
            <w:pPr>
              <w:pStyle w:val="ListParagraph"/>
              <w:ind w:left="157" w:hanging="90"/>
              <w:rPr>
                <w:rFonts w:ascii="Times New Roman" w:hAnsi="Times New Roman" w:cs="Times New Roman"/>
                <w:bCs/>
                <w:lang w:val="en-GB" w:eastAsia="en-US"/>
              </w:rPr>
            </w:pPr>
          </w:p>
          <w:p w:rsidR="005D64A5" w:rsidRPr="009523FB" w:rsidRDefault="005D64A5" w:rsidP="009523FB">
            <w:pPr>
              <w:jc w:val="both"/>
              <w:rPr>
                <w:rFonts w:ascii="Times New Roman" w:hAnsi="Times New Roman" w:cs="Times New Roman"/>
                <w:bCs/>
                <w:lang w:val="en-GB" w:eastAsia="en-US"/>
              </w:rPr>
            </w:pPr>
          </w:p>
          <w:p w:rsidR="005D64A5" w:rsidRDefault="005D64A5" w:rsidP="009523FB">
            <w:pPr>
              <w:pStyle w:val="ListParagraph"/>
              <w:ind w:left="1777"/>
              <w:jc w:val="both"/>
              <w:rPr>
                <w:rFonts w:ascii="Times New Roman" w:hAnsi="Times New Roman" w:cs="Times New Roman"/>
                <w:bCs/>
                <w:lang w:val="en-GB" w:eastAsia="en-US"/>
              </w:rPr>
            </w:pPr>
          </w:p>
          <w:p w:rsidR="005D64A5" w:rsidRPr="00371DA8" w:rsidRDefault="005D64A5" w:rsidP="009523FB">
            <w:pPr>
              <w:pStyle w:val="ListParagraph"/>
              <w:ind w:left="1417"/>
              <w:rPr>
                <w:rFonts w:ascii="Times New Roman" w:hAnsi="Times New Roman" w:cs="Times New Roman"/>
                <w:bCs/>
                <w:lang w:val="en-GB" w:eastAsia="en-US"/>
              </w:rPr>
            </w:pPr>
          </w:p>
        </w:tc>
        <w:tc>
          <w:tcPr>
            <w:tcW w:w="4410" w:type="dxa"/>
          </w:tcPr>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lastRenderedPageBreak/>
              <w:t xml:space="preserve">Please refer to ITT, section 12.2: </w:t>
            </w:r>
          </w:p>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t xml:space="preserve">- “The tenderer “must have completed” the works contracts - this means that the contract the tenderer refers to could have been started/implemented/completed at any time during the period of the past eight (8) years from </w:t>
            </w:r>
            <w:r w:rsidRPr="006D190C">
              <w:rPr>
                <w:rFonts w:ascii="Times New Roman" w:hAnsi="Times New Roman" w:cs="Times New Roman"/>
                <w:lang w:val="en-US"/>
              </w:rPr>
              <w:lastRenderedPageBreak/>
              <w:t xml:space="preserve">the date of submission of tenders but it does not necessarily have to be started and completed during that period,  </w:t>
            </w:r>
          </w:p>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t>- "Completed" means that the tenderer has in his possession “Taking over Certificate"(Provisional Acceptance Certificates) or "Performance Certificate" (Final Acceptance Certificates or equivalent certificates) for completed waste water treatment plants contracts. Copies (with translations into English) of any of the mentioned certificates signed by the relevant Supervisors/Contracting Authority/Employer/Engineer or equivalent of the contract concerned must be submitted to the Contracting Authority.”</w:t>
            </w:r>
          </w:p>
          <w:p w:rsidR="006D190C" w:rsidRPr="006D190C" w:rsidRDefault="006D190C" w:rsidP="006D190C">
            <w:pPr>
              <w:jc w:val="both"/>
              <w:rPr>
                <w:rFonts w:ascii="Times New Roman" w:hAnsi="Times New Roman" w:cs="Times New Roman"/>
              </w:rPr>
            </w:pPr>
            <w:r w:rsidRPr="006D190C">
              <w:rPr>
                <w:rFonts w:ascii="Times New Roman" w:hAnsi="Times New Roman" w:cs="Times New Roman"/>
              </w:rPr>
              <w:t xml:space="preserve">The Tenderer shall not refer to ongoing projects unless proven sectional completion of the works, i.e. completed Taking over of works sections that are of relevance for these works   </w:t>
            </w:r>
          </w:p>
          <w:p w:rsidR="005D64A5" w:rsidRDefault="005D64A5" w:rsidP="00C021A9">
            <w:pPr>
              <w:jc w:val="both"/>
              <w:rPr>
                <w:rFonts w:ascii="Times New Roman" w:hAnsi="Times New Roman" w:cs="Times New Roman"/>
                <w:b/>
                <w:lang w:val="en-US"/>
              </w:rPr>
            </w:pPr>
          </w:p>
        </w:tc>
      </w:tr>
      <w:tr w:rsidR="005D64A5" w:rsidRPr="00EF6833" w:rsidTr="005D64A5">
        <w:tc>
          <w:tcPr>
            <w:tcW w:w="715" w:type="dxa"/>
          </w:tcPr>
          <w:p w:rsidR="005D64A5" w:rsidRPr="001B4D23" w:rsidRDefault="005D64A5" w:rsidP="001B4D23">
            <w:pPr>
              <w:contextualSpacing/>
              <w:jc w:val="both"/>
              <w:rPr>
                <w:rFonts w:ascii="Times New Roman" w:hAnsi="Times New Roman" w:cs="Times New Roman"/>
                <w:b/>
                <w:bCs/>
                <w:lang w:val="en-GB" w:eastAsia="en-US"/>
              </w:rPr>
            </w:pPr>
            <w:r>
              <w:rPr>
                <w:rFonts w:ascii="Times New Roman" w:hAnsi="Times New Roman" w:cs="Times New Roman"/>
                <w:b/>
                <w:bCs/>
                <w:lang w:val="en-GB" w:eastAsia="en-US"/>
              </w:rPr>
              <w:lastRenderedPageBreak/>
              <w:t>11.</w:t>
            </w:r>
          </w:p>
        </w:tc>
        <w:tc>
          <w:tcPr>
            <w:tcW w:w="4140" w:type="dxa"/>
          </w:tcPr>
          <w:p w:rsidR="005D64A5" w:rsidRPr="001B4D23" w:rsidRDefault="005D64A5" w:rsidP="001B4D23">
            <w:pPr>
              <w:contextualSpacing/>
              <w:jc w:val="both"/>
              <w:rPr>
                <w:rFonts w:ascii="Times New Roman" w:hAnsi="Times New Roman" w:cs="Times New Roman"/>
                <w:b/>
                <w:bCs/>
                <w:lang w:val="en-GB" w:eastAsia="en-US"/>
              </w:rPr>
            </w:pPr>
            <w:r w:rsidRPr="001B4D23">
              <w:rPr>
                <w:rFonts w:ascii="Times New Roman" w:hAnsi="Times New Roman" w:cs="Times New Roman"/>
                <w:b/>
                <w:bCs/>
                <w:lang w:val="en-GB" w:eastAsia="en-US"/>
              </w:rPr>
              <w:t xml:space="preserve"> </w:t>
            </w:r>
            <w:r>
              <w:rPr>
                <w:rFonts w:ascii="Times New Roman" w:hAnsi="Times New Roman" w:cs="Times New Roman"/>
                <w:b/>
                <w:bCs/>
                <w:lang w:val="en-GB" w:eastAsia="en-US"/>
              </w:rPr>
              <w:t xml:space="preserve">Financial Qualifications </w:t>
            </w:r>
          </w:p>
          <w:p w:rsidR="005D64A5" w:rsidRDefault="005D64A5" w:rsidP="001B4D23">
            <w:pPr>
              <w:contextualSpacing/>
              <w:jc w:val="both"/>
              <w:rPr>
                <w:rFonts w:ascii="Times New Roman" w:hAnsi="Times New Roman" w:cs="Times New Roman"/>
                <w:bCs/>
                <w:lang w:val="en-GB" w:eastAsia="en-US"/>
              </w:rPr>
            </w:pPr>
          </w:p>
          <w:p w:rsidR="005D64A5" w:rsidRDefault="005D64A5" w:rsidP="001B4D23">
            <w:pPr>
              <w:contextualSpacing/>
              <w:jc w:val="both"/>
              <w:rPr>
                <w:rFonts w:ascii="Times New Roman" w:hAnsi="Times New Roman" w:cs="Times New Roman"/>
                <w:bCs/>
                <w:lang w:val="en-GB" w:eastAsia="en-US"/>
              </w:rPr>
            </w:pPr>
            <w:r w:rsidRPr="001B4D23">
              <w:rPr>
                <w:rFonts w:ascii="Times New Roman" w:hAnsi="Times New Roman" w:cs="Times New Roman"/>
                <w:b/>
                <w:bCs/>
                <w:lang w:val="en-GB" w:eastAsia="en-US"/>
              </w:rPr>
              <w:t>Question:</w:t>
            </w:r>
            <w:r>
              <w:rPr>
                <w:rFonts w:ascii="Times New Roman" w:hAnsi="Times New Roman" w:cs="Times New Roman"/>
                <w:bCs/>
                <w:lang w:val="en-GB" w:eastAsia="en-US"/>
              </w:rPr>
              <w:t xml:space="preserve"> </w:t>
            </w:r>
            <w:r w:rsidRPr="001B4D23">
              <w:rPr>
                <w:rFonts w:ascii="Times New Roman" w:hAnsi="Times New Roman" w:cs="Times New Roman"/>
                <w:bCs/>
                <w:lang w:val="en-GB" w:eastAsia="en-US"/>
              </w:rPr>
              <w:t>For the financial qualifications; do we</w:t>
            </w:r>
            <w:r>
              <w:rPr>
                <w:rFonts w:ascii="Times New Roman" w:hAnsi="Times New Roman" w:cs="Times New Roman"/>
                <w:bCs/>
                <w:lang w:val="en-GB" w:eastAsia="en-US"/>
              </w:rPr>
              <w:t xml:space="preserve"> need to meet the criteria as a </w:t>
            </w:r>
            <w:r w:rsidRPr="001B4D23">
              <w:rPr>
                <w:rFonts w:ascii="Times New Roman" w:hAnsi="Times New Roman" w:cs="Times New Roman"/>
                <w:bCs/>
                <w:lang w:val="en-GB" w:eastAsia="en-US"/>
              </w:rPr>
              <w:t>JV or as per company? As a one company i</w:t>
            </w:r>
            <w:r>
              <w:rPr>
                <w:rFonts w:ascii="Times New Roman" w:hAnsi="Times New Roman" w:cs="Times New Roman"/>
                <w:bCs/>
                <w:lang w:val="en-GB" w:eastAsia="en-US"/>
              </w:rPr>
              <w:t xml:space="preserve">s it sufficient to meet the </w:t>
            </w:r>
            <w:r w:rsidRPr="001B4D23">
              <w:rPr>
                <w:rFonts w:ascii="Times New Roman" w:hAnsi="Times New Roman" w:cs="Times New Roman"/>
                <w:bCs/>
                <w:lang w:val="en-GB" w:eastAsia="en-US"/>
              </w:rPr>
              <w:t>criteria. Or as a JV can we meet the c</w:t>
            </w:r>
            <w:r>
              <w:rPr>
                <w:rFonts w:ascii="Times New Roman" w:hAnsi="Times New Roman" w:cs="Times New Roman"/>
                <w:bCs/>
                <w:lang w:val="en-GB" w:eastAsia="en-US"/>
              </w:rPr>
              <w:t xml:space="preserve">riteria together? Are there any </w:t>
            </w:r>
            <w:r w:rsidRPr="001B4D23">
              <w:rPr>
                <w:rFonts w:ascii="Times New Roman" w:hAnsi="Times New Roman" w:cs="Times New Roman"/>
                <w:bCs/>
                <w:lang w:val="en-GB" w:eastAsia="en-US"/>
              </w:rPr>
              <w:t>percentage for companies to meet?</w:t>
            </w:r>
          </w:p>
          <w:p w:rsidR="005D64A5" w:rsidRPr="00F05DA9" w:rsidRDefault="005D64A5" w:rsidP="001B4D23">
            <w:pPr>
              <w:contextualSpacing/>
              <w:jc w:val="both"/>
              <w:rPr>
                <w:rFonts w:ascii="Times New Roman" w:hAnsi="Times New Roman" w:cs="Times New Roman"/>
                <w:bCs/>
                <w:lang w:val="en-GB" w:eastAsia="en-US"/>
              </w:rPr>
            </w:pPr>
          </w:p>
        </w:tc>
        <w:tc>
          <w:tcPr>
            <w:tcW w:w="4410" w:type="dxa"/>
          </w:tcPr>
          <w:p w:rsidR="005D64A5" w:rsidRPr="006E721F" w:rsidRDefault="005D64A5" w:rsidP="006E721F">
            <w:pPr>
              <w:jc w:val="both"/>
              <w:rPr>
                <w:rFonts w:ascii="Times New Roman" w:hAnsi="Times New Roman" w:cs="Times New Roman"/>
                <w:lang w:val="en-US"/>
              </w:rPr>
            </w:pPr>
            <w:r w:rsidRPr="006E721F">
              <w:rPr>
                <w:rFonts w:ascii="Times New Roman" w:hAnsi="Times New Roman" w:cs="Times New Roman"/>
                <w:lang w:val="en-US"/>
              </w:rPr>
              <w:t>Please refer to ITT section 12.2. “If a tender is submitted by a consortium, unless specified, the selection criteria will be applied to the consortium as a whole.” In case of sole tenderer, the financial requirements must be met by this company, in case of consortium, the requirement can be met jointly. There are no specific percentages for companies, in terms of their participation in JV. In this respect, also please refer to ITT section 12.3.</w:t>
            </w:r>
          </w:p>
        </w:tc>
      </w:tr>
      <w:tr w:rsidR="005D64A5" w:rsidRPr="00EF6833" w:rsidTr="005D64A5">
        <w:tc>
          <w:tcPr>
            <w:tcW w:w="715" w:type="dxa"/>
          </w:tcPr>
          <w:p w:rsidR="005D64A5" w:rsidRPr="00C459A1" w:rsidRDefault="005D64A5" w:rsidP="00C459A1">
            <w:pPr>
              <w:jc w:val="both"/>
              <w:rPr>
                <w:rFonts w:ascii="Times New Roman" w:hAnsi="Times New Roman" w:cs="Times New Roman"/>
                <w:b/>
                <w:bCs/>
                <w:lang w:val="en-GB" w:eastAsia="en-US"/>
              </w:rPr>
            </w:pPr>
            <w:r>
              <w:rPr>
                <w:rFonts w:ascii="Times New Roman" w:hAnsi="Times New Roman" w:cs="Times New Roman"/>
                <w:b/>
                <w:bCs/>
                <w:lang w:val="en-GB" w:eastAsia="en-US"/>
              </w:rPr>
              <w:t>12.</w:t>
            </w:r>
          </w:p>
        </w:tc>
        <w:tc>
          <w:tcPr>
            <w:tcW w:w="4140" w:type="dxa"/>
          </w:tcPr>
          <w:p w:rsidR="005D64A5" w:rsidRDefault="005D64A5" w:rsidP="00C459A1">
            <w:pPr>
              <w:jc w:val="both"/>
              <w:rPr>
                <w:rFonts w:ascii="Times New Roman" w:hAnsi="Times New Roman" w:cs="Times New Roman"/>
                <w:b/>
                <w:bCs/>
                <w:lang w:val="en-GB" w:eastAsia="en-US"/>
              </w:rPr>
            </w:pPr>
          </w:p>
          <w:p w:rsidR="005D64A5" w:rsidRPr="00C459A1" w:rsidRDefault="005D64A5" w:rsidP="00C459A1">
            <w:pPr>
              <w:jc w:val="both"/>
              <w:rPr>
                <w:rFonts w:ascii="Times New Roman" w:hAnsi="Times New Roman" w:cs="Times New Roman"/>
                <w:bCs/>
                <w:lang w:val="en-GB" w:eastAsia="en-US"/>
              </w:rPr>
            </w:pPr>
            <w:r>
              <w:rPr>
                <w:rFonts w:ascii="Times New Roman" w:hAnsi="Times New Roman" w:cs="Times New Roman"/>
                <w:b/>
                <w:bCs/>
                <w:lang w:val="en-GB" w:eastAsia="en-US"/>
              </w:rPr>
              <w:t xml:space="preserve">Question: </w:t>
            </w:r>
            <w:r w:rsidRPr="00C459A1">
              <w:rPr>
                <w:rFonts w:ascii="Times New Roman" w:hAnsi="Times New Roman" w:cs="Times New Roman"/>
                <w:bCs/>
                <w:lang w:val="en-GB" w:eastAsia="en-US"/>
              </w:rPr>
              <w:t>In the documents "site visit ce</w:t>
            </w:r>
            <w:r>
              <w:rPr>
                <w:rFonts w:ascii="Times New Roman" w:hAnsi="Times New Roman" w:cs="Times New Roman"/>
                <w:bCs/>
                <w:lang w:val="en-GB" w:eastAsia="en-US"/>
              </w:rPr>
              <w:t xml:space="preserve">rtificate" is required. But, as </w:t>
            </w:r>
            <w:r w:rsidRPr="00C459A1">
              <w:rPr>
                <w:rFonts w:ascii="Times New Roman" w:hAnsi="Times New Roman" w:cs="Times New Roman"/>
                <w:bCs/>
                <w:lang w:val="en-GB" w:eastAsia="en-US"/>
              </w:rPr>
              <w:t>far as we understand it's not mandatory. Could you please clar</w:t>
            </w:r>
            <w:r>
              <w:rPr>
                <w:rFonts w:ascii="Times New Roman" w:hAnsi="Times New Roman" w:cs="Times New Roman"/>
                <w:bCs/>
                <w:lang w:val="en-GB" w:eastAsia="en-US"/>
              </w:rPr>
              <w:t xml:space="preserve">ify </w:t>
            </w:r>
            <w:r w:rsidRPr="00C459A1">
              <w:rPr>
                <w:rFonts w:ascii="Times New Roman" w:hAnsi="Times New Roman" w:cs="Times New Roman"/>
                <w:bCs/>
                <w:lang w:val="en-GB" w:eastAsia="en-US"/>
              </w:rPr>
              <w:t>whether "site v</w:t>
            </w:r>
            <w:r>
              <w:rPr>
                <w:rFonts w:ascii="Times New Roman" w:hAnsi="Times New Roman" w:cs="Times New Roman"/>
                <w:bCs/>
                <w:lang w:val="en-GB" w:eastAsia="en-US"/>
              </w:rPr>
              <w:t xml:space="preserve">isit" and "pre-bid meeting" are </w:t>
            </w:r>
            <w:r w:rsidRPr="00C459A1">
              <w:rPr>
                <w:rFonts w:ascii="Times New Roman" w:hAnsi="Times New Roman" w:cs="Times New Roman"/>
                <w:bCs/>
                <w:lang w:val="en-GB" w:eastAsia="en-US"/>
              </w:rPr>
              <w:t>mandatory or not?</w:t>
            </w:r>
          </w:p>
        </w:tc>
        <w:tc>
          <w:tcPr>
            <w:tcW w:w="4410" w:type="dxa"/>
          </w:tcPr>
          <w:p w:rsidR="005D64A5" w:rsidRPr="006E721F" w:rsidRDefault="005D64A5" w:rsidP="006D190C">
            <w:pPr>
              <w:jc w:val="both"/>
              <w:rPr>
                <w:rFonts w:ascii="Times New Roman" w:hAnsi="Times New Roman" w:cs="Times New Roman"/>
                <w:lang w:val="en-US"/>
              </w:rPr>
            </w:pPr>
            <w:r w:rsidRPr="006E721F">
              <w:rPr>
                <w:rFonts w:ascii="Times New Roman" w:hAnsi="Times New Roman" w:cs="Times New Roman"/>
                <w:lang w:val="en-US"/>
              </w:rPr>
              <w:t xml:space="preserve">Information meeting and site visit are mandatory, as stated </w:t>
            </w:r>
            <w:proofErr w:type="gramStart"/>
            <w:r w:rsidRPr="006E721F">
              <w:rPr>
                <w:rFonts w:ascii="Times New Roman" w:hAnsi="Times New Roman" w:cs="Times New Roman"/>
                <w:lang w:val="en-US"/>
              </w:rPr>
              <w:t xml:space="preserve">in </w:t>
            </w:r>
            <w:r>
              <w:rPr>
                <w:rFonts w:ascii="Times New Roman" w:hAnsi="Times New Roman" w:cs="Times New Roman"/>
                <w:lang w:val="en-US"/>
              </w:rPr>
              <w:t xml:space="preserve"> </w:t>
            </w:r>
            <w:r w:rsidRPr="006E721F">
              <w:rPr>
                <w:rFonts w:ascii="Times New Roman" w:hAnsi="Times New Roman" w:cs="Times New Roman"/>
                <w:lang w:val="en-US"/>
              </w:rPr>
              <w:t>Additional</w:t>
            </w:r>
            <w:proofErr w:type="gramEnd"/>
            <w:r w:rsidRPr="006E721F">
              <w:rPr>
                <w:rFonts w:ascii="Times New Roman" w:hAnsi="Times New Roman" w:cs="Times New Roman"/>
                <w:lang w:val="en-US"/>
              </w:rPr>
              <w:t xml:space="preserve"> information about the Contract Notice, point 9.</w:t>
            </w:r>
          </w:p>
        </w:tc>
      </w:tr>
      <w:tr w:rsidR="005D64A5" w:rsidRPr="00EF6833" w:rsidTr="005D64A5">
        <w:tc>
          <w:tcPr>
            <w:tcW w:w="715" w:type="dxa"/>
          </w:tcPr>
          <w:p w:rsidR="005D64A5" w:rsidRDefault="005D64A5" w:rsidP="00C459A1">
            <w:pPr>
              <w:jc w:val="both"/>
              <w:rPr>
                <w:rFonts w:ascii="Times New Roman" w:hAnsi="Times New Roman" w:cs="Times New Roman"/>
                <w:b/>
                <w:bCs/>
                <w:lang w:val="en-GB" w:eastAsia="en-US"/>
              </w:rPr>
            </w:pPr>
            <w:r>
              <w:rPr>
                <w:rFonts w:ascii="Times New Roman" w:hAnsi="Times New Roman" w:cs="Times New Roman"/>
                <w:b/>
                <w:bCs/>
                <w:lang w:val="en-GB" w:eastAsia="en-US"/>
              </w:rPr>
              <w:t>13.</w:t>
            </w:r>
          </w:p>
        </w:tc>
        <w:tc>
          <w:tcPr>
            <w:tcW w:w="4140" w:type="dxa"/>
          </w:tcPr>
          <w:p w:rsidR="005D64A5" w:rsidRDefault="005D64A5" w:rsidP="00C459A1">
            <w:pPr>
              <w:jc w:val="both"/>
              <w:rPr>
                <w:rFonts w:ascii="Times New Roman" w:hAnsi="Times New Roman" w:cs="Times New Roman"/>
                <w:b/>
                <w:bCs/>
                <w:lang w:val="en-GB" w:eastAsia="en-US"/>
              </w:rPr>
            </w:pPr>
            <w:r>
              <w:t xml:space="preserve"> </w:t>
            </w:r>
            <w:r w:rsidRPr="00C459A1">
              <w:rPr>
                <w:rFonts w:ascii="Times New Roman" w:hAnsi="Times New Roman" w:cs="Times New Roman"/>
                <w:b/>
                <w:bCs/>
                <w:lang w:val="en-GB" w:eastAsia="en-US"/>
              </w:rPr>
              <w:t>Reference: Volume 1, Section 1, 12.2.2 a)Economic and financial capacity</w:t>
            </w:r>
          </w:p>
          <w:p w:rsidR="005D64A5" w:rsidRDefault="005D64A5" w:rsidP="00C459A1">
            <w:pPr>
              <w:jc w:val="both"/>
              <w:rPr>
                <w:rFonts w:ascii="Times New Roman" w:hAnsi="Times New Roman" w:cs="Times New Roman"/>
                <w:b/>
                <w:bCs/>
                <w:lang w:val="en-GB" w:eastAsia="en-US"/>
              </w:rPr>
            </w:pPr>
          </w:p>
          <w:p w:rsidR="005D64A5" w:rsidRPr="006D190C" w:rsidRDefault="005D64A5" w:rsidP="00C459A1">
            <w:pPr>
              <w:jc w:val="both"/>
              <w:rPr>
                <w:rFonts w:ascii="Times New Roman" w:hAnsi="Times New Roman" w:cs="Times New Roman"/>
                <w:bCs/>
                <w:lang w:val="en-GB" w:eastAsia="en-US"/>
              </w:rPr>
            </w:pPr>
            <w:r>
              <w:rPr>
                <w:rFonts w:ascii="Times New Roman" w:hAnsi="Times New Roman" w:cs="Times New Roman"/>
                <w:b/>
                <w:bCs/>
                <w:lang w:val="en-GB" w:eastAsia="en-US"/>
              </w:rPr>
              <w:t>Question:</w:t>
            </w:r>
            <w:r>
              <w:t xml:space="preserve"> </w:t>
            </w:r>
            <w:r w:rsidRPr="00C459A1">
              <w:rPr>
                <w:rFonts w:ascii="Times New Roman" w:hAnsi="Times New Roman" w:cs="Times New Roman"/>
                <w:bCs/>
                <w:lang w:val="en-GB" w:eastAsia="en-US"/>
              </w:rPr>
              <w:t>Please confirm that for the purpose of meeting Economic and financial requirements the tenderer can use m</w:t>
            </w:r>
            <w:r>
              <w:rPr>
                <w:rFonts w:ascii="Times New Roman" w:hAnsi="Times New Roman" w:cs="Times New Roman"/>
                <w:bCs/>
                <w:lang w:val="en-GB" w:eastAsia="en-US"/>
              </w:rPr>
              <w:t xml:space="preserve">ore than one Capacity-providing </w:t>
            </w:r>
            <w:r w:rsidRPr="00C459A1">
              <w:rPr>
                <w:rFonts w:ascii="Times New Roman" w:hAnsi="Times New Roman" w:cs="Times New Roman"/>
                <w:bCs/>
                <w:lang w:val="en-GB" w:eastAsia="en-US"/>
              </w:rPr>
              <w:t>entities belonging to the same Group (a Parent company or other affiliated companies) which are not the members of the consortium.</w:t>
            </w:r>
          </w:p>
        </w:tc>
        <w:tc>
          <w:tcPr>
            <w:tcW w:w="4410" w:type="dxa"/>
          </w:tcPr>
          <w:p w:rsidR="00C85C87" w:rsidRPr="006D190C" w:rsidRDefault="00C85C87" w:rsidP="00C85C87">
            <w:pPr>
              <w:rPr>
                <w:rFonts w:ascii="Times New Roman" w:hAnsi="Times New Roman" w:cs="Times New Roman"/>
                <w:lang w:val="en-GB"/>
              </w:rPr>
            </w:pPr>
            <w:r w:rsidRPr="006D190C">
              <w:rPr>
                <w:rFonts w:ascii="Times New Roman" w:hAnsi="Times New Roman" w:cs="Times New Roman"/>
                <w:lang w:val="en-GB"/>
              </w:rPr>
              <w:t>In line with the PRAG document, Section 5.3.4. Additional information during the procedure, please note that no prior opinion on the assessment of the tender can be given by the Contracting Authority in reply to a question or a request for clarification.</w:t>
            </w:r>
          </w:p>
          <w:p w:rsidR="00C85C87" w:rsidRPr="006D190C" w:rsidRDefault="00C85C87" w:rsidP="00C85C87">
            <w:pPr>
              <w:rPr>
                <w:rFonts w:ascii="Times New Roman" w:hAnsi="Times New Roman" w:cs="Times New Roman"/>
                <w:lang w:val="en-GB"/>
              </w:rPr>
            </w:pPr>
          </w:p>
          <w:p w:rsidR="00C85C87" w:rsidRPr="006D190C" w:rsidRDefault="00C85C87" w:rsidP="00C85C87">
            <w:pPr>
              <w:rPr>
                <w:rFonts w:ascii="Times New Roman" w:hAnsi="Times New Roman" w:cs="Times New Roman"/>
                <w:lang w:val="en-US"/>
              </w:rPr>
            </w:pPr>
            <w:r w:rsidRPr="006D190C">
              <w:rPr>
                <w:rFonts w:ascii="Times New Roman" w:hAnsi="Times New Roman" w:cs="Times New Roman"/>
                <w:lang w:val="en-GB"/>
              </w:rPr>
              <w:t>For all the detailed information, please refer to Instruction to Tenderers, section 12.2.3.</w:t>
            </w:r>
          </w:p>
          <w:p w:rsidR="005D64A5" w:rsidRDefault="005D64A5" w:rsidP="006E721F">
            <w:pPr>
              <w:rPr>
                <w:rFonts w:ascii="Times New Roman" w:hAnsi="Times New Roman" w:cs="Times New Roman"/>
                <w:b/>
                <w:lang w:val="en-US"/>
              </w:rPr>
            </w:pPr>
          </w:p>
        </w:tc>
      </w:tr>
      <w:tr w:rsidR="005D64A5" w:rsidRPr="00EF6833" w:rsidTr="005D64A5">
        <w:tc>
          <w:tcPr>
            <w:tcW w:w="715" w:type="dxa"/>
          </w:tcPr>
          <w:p w:rsidR="005D64A5" w:rsidRDefault="005D64A5" w:rsidP="00C459A1">
            <w:pPr>
              <w:jc w:val="both"/>
              <w:rPr>
                <w:rFonts w:ascii="Times New Roman" w:hAnsi="Times New Roman" w:cs="Times New Roman"/>
                <w:b/>
                <w:bCs/>
                <w:lang w:val="en-GB" w:eastAsia="en-US"/>
              </w:rPr>
            </w:pPr>
            <w:r>
              <w:rPr>
                <w:rFonts w:ascii="Times New Roman" w:hAnsi="Times New Roman" w:cs="Times New Roman"/>
                <w:b/>
                <w:bCs/>
                <w:lang w:val="en-GB" w:eastAsia="en-US"/>
              </w:rPr>
              <w:lastRenderedPageBreak/>
              <w:t>14.</w:t>
            </w:r>
          </w:p>
        </w:tc>
        <w:tc>
          <w:tcPr>
            <w:tcW w:w="4140" w:type="dxa"/>
          </w:tcPr>
          <w:p w:rsidR="005D64A5" w:rsidRDefault="005D64A5" w:rsidP="00C459A1">
            <w:pPr>
              <w:jc w:val="both"/>
              <w:rPr>
                <w:rFonts w:ascii="Times New Roman" w:hAnsi="Times New Roman" w:cs="Times New Roman"/>
                <w:b/>
                <w:bCs/>
                <w:lang w:val="en-GB" w:eastAsia="en-US"/>
              </w:rPr>
            </w:pPr>
            <w:r w:rsidRPr="00C459A1">
              <w:rPr>
                <w:rFonts w:ascii="Times New Roman" w:hAnsi="Times New Roman" w:cs="Times New Roman"/>
                <w:b/>
                <w:bCs/>
                <w:lang w:val="en-GB" w:eastAsia="en-US"/>
              </w:rPr>
              <w:t>Reference: Volume1, Section1, part 12.2.2 b)Technical and Professional</w:t>
            </w:r>
          </w:p>
          <w:p w:rsidR="005D64A5" w:rsidRDefault="005D64A5" w:rsidP="00C459A1">
            <w:pPr>
              <w:jc w:val="both"/>
              <w:rPr>
                <w:rFonts w:ascii="Times New Roman" w:hAnsi="Times New Roman" w:cs="Times New Roman"/>
                <w:b/>
                <w:bCs/>
                <w:lang w:val="en-GB" w:eastAsia="en-US"/>
              </w:rPr>
            </w:pPr>
          </w:p>
          <w:p w:rsidR="005D64A5" w:rsidRPr="00C459A1" w:rsidRDefault="005D64A5" w:rsidP="00C459A1">
            <w:pPr>
              <w:jc w:val="both"/>
              <w:rPr>
                <w:rFonts w:ascii="Times New Roman" w:hAnsi="Times New Roman" w:cs="Times New Roman"/>
                <w:bCs/>
                <w:lang w:val="en-GB" w:eastAsia="en-US"/>
              </w:rPr>
            </w:pPr>
            <w:proofErr w:type="spellStart"/>
            <w:r w:rsidRPr="00C459A1">
              <w:rPr>
                <w:rFonts w:ascii="Times New Roman" w:hAnsi="Times New Roman" w:cs="Times New Roman"/>
                <w:b/>
                <w:bCs/>
                <w:lang w:val="en-GB" w:eastAsia="en-US"/>
              </w:rPr>
              <w:t>Question:</w:t>
            </w:r>
            <w:r w:rsidRPr="00C459A1">
              <w:rPr>
                <w:rFonts w:ascii="Times New Roman" w:hAnsi="Times New Roman" w:cs="Times New Roman"/>
                <w:bCs/>
                <w:lang w:val="en-GB" w:eastAsia="en-US"/>
              </w:rPr>
              <w:t>Please</w:t>
            </w:r>
            <w:proofErr w:type="spellEnd"/>
            <w:r w:rsidRPr="00C459A1">
              <w:rPr>
                <w:rFonts w:ascii="Times New Roman" w:hAnsi="Times New Roman" w:cs="Times New Roman"/>
                <w:bCs/>
                <w:lang w:val="en-GB" w:eastAsia="en-US"/>
              </w:rPr>
              <w:t xml:space="preserve"> confirm that it will be acceptable if a tenderer from Serbia will submit professional licence(s), certificate(s) (or right), in accordance with the laws of the country of a Capacity-providing entity which is registered outside Serbia, which is belonging to the same Group as tenderer.</w:t>
            </w:r>
          </w:p>
        </w:tc>
        <w:tc>
          <w:tcPr>
            <w:tcW w:w="4410" w:type="dxa"/>
          </w:tcPr>
          <w:p w:rsidR="005D64A5" w:rsidRPr="00C5205F" w:rsidRDefault="005D64A5" w:rsidP="006E721F">
            <w:pPr>
              <w:jc w:val="both"/>
              <w:rPr>
                <w:rFonts w:ascii="Times New Roman" w:hAnsi="Times New Roman" w:cs="Times New Roman"/>
                <w:b/>
                <w:lang w:val="en-US"/>
              </w:rPr>
            </w:pPr>
            <w:r w:rsidRPr="00C5205F">
              <w:rPr>
                <w:rFonts w:ascii="Times New Roman" w:hAnsi="Times New Roman" w:cs="Times New Roman"/>
                <w:bCs/>
                <w:lang w:val="en-US"/>
              </w:rPr>
              <w:t>Please note that the contracting authority cannot give a prior opinion on the assessment of the tender.</w:t>
            </w:r>
            <w:r>
              <w:rPr>
                <w:rFonts w:ascii="Times New Roman" w:hAnsi="Times New Roman" w:cs="Times New Roman"/>
                <w:bCs/>
                <w:lang w:val="en-US"/>
              </w:rPr>
              <w:t xml:space="preserve"> For more information about tender opening and evaluation, please refer to Volume 1, Section 1: Instructions to tenderers, Clause 21 and 22 as well as Practical guide, section 5.3.9. </w:t>
            </w:r>
          </w:p>
          <w:p w:rsidR="005D64A5" w:rsidRDefault="005D64A5" w:rsidP="006E721F">
            <w:pPr>
              <w:jc w:val="both"/>
              <w:rPr>
                <w:rFonts w:ascii="Times New Roman" w:hAnsi="Times New Roman" w:cs="Times New Roman"/>
                <w:b/>
                <w:lang w:val="en-US"/>
              </w:rPr>
            </w:pPr>
          </w:p>
          <w:p w:rsidR="005D64A5" w:rsidRDefault="005D64A5" w:rsidP="006E721F">
            <w:pPr>
              <w:jc w:val="both"/>
              <w:rPr>
                <w:rFonts w:ascii="Times New Roman" w:hAnsi="Times New Roman" w:cs="Times New Roman"/>
                <w:bCs/>
                <w:i/>
                <w:iCs/>
                <w:lang w:val="en-US"/>
              </w:rPr>
            </w:pPr>
            <w:r w:rsidRPr="0032743C">
              <w:rPr>
                <w:rFonts w:ascii="Times New Roman" w:hAnsi="Times New Roman" w:cs="Times New Roman"/>
                <w:bCs/>
                <w:lang w:val="en-US"/>
              </w:rPr>
              <w:t>Concerning Lot 2</w:t>
            </w:r>
            <w:r>
              <w:rPr>
                <w:rFonts w:ascii="Times New Roman" w:hAnsi="Times New Roman" w:cs="Times New Roman"/>
                <w:bCs/>
                <w:lang w:val="en-US"/>
              </w:rPr>
              <w:t>, a</w:t>
            </w:r>
            <w:r w:rsidRPr="0032743C">
              <w:rPr>
                <w:rFonts w:ascii="Times New Roman" w:hAnsi="Times New Roman" w:cs="Times New Roman"/>
                <w:bCs/>
                <w:lang w:val="en-US"/>
              </w:rPr>
              <w:t>s</w:t>
            </w:r>
            <w:r>
              <w:rPr>
                <w:rFonts w:ascii="Times New Roman" w:hAnsi="Times New Roman" w:cs="Times New Roman"/>
                <w:bCs/>
                <w:lang w:val="en-US"/>
              </w:rPr>
              <w:t xml:space="preserve"> stated in the Volume 1, Section 1: Instructions to tenderers, Sub-clause 12.2.2 (b) 2:   </w:t>
            </w:r>
            <w:r w:rsidRPr="00A60988">
              <w:rPr>
                <w:rFonts w:ascii="Times New Roman" w:hAnsi="Times New Roman" w:cs="Times New Roman"/>
                <w:bCs/>
                <w:i/>
                <w:iCs/>
                <w:lang w:val="en-US"/>
              </w:rPr>
              <w:t xml:space="preserve">At the moment of tender submission, the member(s) of the tenderer shall have a professional </w:t>
            </w:r>
            <w:proofErr w:type="spellStart"/>
            <w:r w:rsidRPr="00A60988">
              <w:rPr>
                <w:rFonts w:ascii="Times New Roman" w:hAnsi="Times New Roman" w:cs="Times New Roman"/>
                <w:bCs/>
                <w:i/>
                <w:iCs/>
                <w:lang w:val="en-US"/>
              </w:rPr>
              <w:t>licence</w:t>
            </w:r>
            <w:proofErr w:type="spellEnd"/>
            <w:r w:rsidRPr="00A60988">
              <w:rPr>
                <w:rFonts w:ascii="Times New Roman" w:hAnsi="Times New Roman" w:cs="Times New Roman"/>
                <w:bCs/>
                <w:i/>
                <w:iCs/>
                <w:lang w:val="en-US"/>
              </w:rPr>
              <w:t>(s), certificate(s) (or right), in accordance with the laws of the country in which they are established (or equivalent) for the execution of the Works.</w:t>
            </w:r>
          </w:p>
          <w:p w:rsidR="005D64A5" w:rsidRDefault="005D64A5" w:rsidP="006E721F">
            <w:pPr>
              <w:jc w:val="both"/>
              <w:rPr>
                <w:rFonts w:ascii="Times New Roman" w:hAnsi="Times New Roman" w:cs="Times New Roman"/>
                <w:b/>
                <w:i/>
                <w:iCs/>
                <w:lang w:val="en-GB"/>
              </w:rPr>
            </w:pPr>
          </w:p>
          <w:p w:rsidR="005D64A5" w:rsidRDefault="005D64A5" w:rsidP="006E721F">
            <w:pPr>
              <w:jc w:val="both"/>
              <w:rPr>
                <w:rFonts w:ascii="Times New Roman" w:hAnsi="Times New Roman" w:cs="Times New Roman"/>
                <w:bCs/>
              </w:rPr>
            </w:pPr>
            <w:r w:rsidRPr="00A60988">
              <w:rPr>
                <w:rFonts w:ascii="Times New Roman" w:hAnsi="Times New Roman" w:cs="Times New Roman"/>
                <w:bCs/>
                <w:lang w:val="en-GB"/>
              </w:rPr>
              <w:t>Further on, Sub-clause 12.2.3 Capacity-providing entities</w:t>
            </w:r>
            <w:r>
              <w:rPr>
                <w:rFonts w:ascii="Times New Roman" w:hAnsi="Times New Roman" w:cs="Times New Roman"/>
                <w:bCs/>
                <w:lang w:val="en-GB"/>
              </w:rPr>
              <w:t xml:space="preserve"> states: </w:t>
            </w:r>
            <w:r w:rsidRPr="00A60988">
              <w:rPr>
                <w:rFonts w:ascii="Times New Roman" w:hAnsi="Times New Roman" w:cs="Times New Roman"/>
                <w:bCs/>
                <w:i/>
                <w:iCs/>
                <w:lang w:val="en-GB"/>
              </w:rPr>
              <w:t>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w:t>
            </w:r>
          </w:p>
          <w:p w:rsidR="005D64A5" w:rsidRDefault="005D64A5" w:rsidP="006E721F">
            <w:pPr>
              <w:jc w:val="both"/>
              <w:rPr>
                <w:rFonts w:ascii="Times New Roman" w:hAnsi="Times New Roman" w:cs="Times New Roman"/>
                <w:bCs/>
              </w:rPr>
            </w:pPr>
          </w:p>
          <w:p w:rsidR="005D64A5" w:rsidRDefault="005D64A5" w:rsidP="00C85C87">
            <w:pPr>
              <w:jc w:val="both"/>
              <w:rPr>
                <w:rFonts w:ascii="Times New Roman" w:hAnsi="Times New Roman" w:cs="Times New Roman"/>
                <w:bCs/>
              </w:rPr>
            </w:pPr>
            <w:r>
              <w:rPr>
                <w:rFonts w:ascii="Times New Roman" w:hAnsi="Times New Roman" w:cs="Times New Roman"/>
                <w:bCs/>
              </w:rPr>
              <w:t xml:space="preserve">If relying on the technical or professional capacity of the capacity prviding entity, it is important to note the following provision stated further in the text: </w:t>
            </w:r>
            <w:r w:rsidRPr="00A60988">
              <w:rPr>
                <w:rFonts w:ascii="Times New Roman" w:hAnsi="Times New Roman" w:cs="Times New Roman"/>
                <w:bCs/>
                <w:i/>
                <w:iCs/>
              </w:rPr>
              <w:t>With regard to technical and professional criteria, a tenderer may only rely on the capacities of other entities where the latter will perform the works for which these capacities are required.</w:t>
            </w:r>
            <w:r w:rsidRPr="00A60988">
              <w:rPr>
                <w:rFonts w:ascii="Times New Roman" w:hAnsi="Times New Roman" w:cs="Times New Roman"/>
                <w:bCs/>
              </w:rPr>
              <w:t xml:space="preserve">  </w:t>
            </w:r>
          </w:p>
          <w:p w:rsidR="00C85C87" w:rsidRDefault="00C85C87" w:rsidP="00C85C87">
            <w:pPr>
              <w:jc w:val="both"/>
              <w:rPr>
                <w:rFonts w:ascii="Times New Roman" w:hAnsi="Times New Roman" w:cs="Times New Roman"/>
                <w:bCs/>
              </w:rPr>
            </w:pPr>
          </w:p>
          <w:p w:rsidR="00C85C87" w:rsidRDefault="00C85C87" w:rsidP="00C85C87">
            <w:pPr>
              <w:jc w:val="both"/>
              <w:rPr>
                <w:rFonts w:ascii="Times New Roman" w:hAnsi="Times New Roman" w:cs="Times New Roman"/>
                <w:b/>
                <w:lang w:val="en-US"/>
              </w:rPr>
            </w:pPr>
          </w:p>
        </w:tc>
      </w:tr>
      <w:tr w:rsidR="005D64A5" w:rsidRPr="00EF6833" w:rsidTr="005D64A5">
        <w:tc>
          <w:tcPr>
            <w:tcW w:w="715" w:type="dxa"/>
          </w:tcPr>
          <w:p w:rsidR="005D64A5" w:rsidRDefault="005D64A5" w:rsidP="00C459A1">
            <w:pPr>
              <w:jc w:val="both"/>
              <w:rPr>
                <w:rFonts w:ascii="Times New Roman" w:hAnsi="Times New Roman" w:cs="Times New Roman"/>
                <w:b/>
                <w:bCs/>
                <w:lang w:val="en-GB" w:eastAsia="en-US"/>
              </w:rPr>
            </w:pPr>
            <w:r>
              <w:rPr>
                <w:rFonts w:ascii="Times New Roman" w:hAnsi="Times New Roman" w:cs="Times New Roman"/>
                <w:b/>
                <w:bCs/>
                <w:lang w:val="en-GB" w:eastAsia="en-US"/>
              </w:rPr>
              <w:lastRenderedPageBreak/>
              <w:t>15.</w:t>
            </w:r>
          </w:p>
        </w:tc>
        <w:tc>
          <w:tcPr>
            <w:tcW w:w="4140" w:type="dxa"/>
          </w:tcPr>
          <w:p w:rsidR="005D64A5" w:rsidRDefault="005D64A5" w:rsidP="00C459A1">
            <w:pPr>
              <w:jc w:val="both"/>
              <w:rPr>
                <w:rFonts w:ascii="Times New Roman" w:hAnsi="Times New Roman" w:cs="Times New Roman"/>
                <w:b/>
                <w:bCs/>
                <w:lang w:val="en-GB" w:eastAsia="en-US"/>
              </w:rPr>
            </w:pPr>
            <w:r w:rsidRPr="00C459A1">
              <w:rPr>
                <w:rFonts w:ascii="Times New Roman" w:hAnsi="Times New Roman" w:cs="Times New Roman"/>
                <w:b/>
                <w:bCs/>
                <w:lang w:val="en-GB" w:eastAsia="en-US"/>
              </w:rPr>
              <w:t>Reference: Volume 1, Section 1, 12.2.1 a)Economic and financial capacity</w:t>
            </w:r>
          </w:p>
          <w:p w:rsidR="005D64A5" w:rsidRDefault="005D64A5" w:rsidP="00C459A1">
            <w:pPr>
              <w:jc w:val="both"/>
              <w:rPr>
                <w:rFonts w:ascii="Times New Roman" w:hAnsi="Times New Roman" w:cs="Times New Roman"/>
                <w:b/>
                <w:bCs/>
                <w:lang w:val="en-GB" w:eastAsia="en-US"/>
              </w:rPr>
            </w:pPr>
          </w:p>
          <w:p w:rsidR="005D64A5" w:rsidRPr="00C459A1" w:rsidRDefault="005D64A5" w:rsidP="00C459A1">
            <w:pPr>
              <w:jc w:val="both"/>
              <w:rPr>
                <w:rFonts w:ascii="Times New Roman" w:hAnsi="Times New Roman" w:cs="Times New Roman"/>
                <w:bCs/>
                <w:lang w:val="en-GB" w:eastAsia="en-US"/>
              </w:rPr>
            </w:pPr>
            <w:r>
              <w:rPr>
                <w:rFonts w:ascii="Times New Roman" w:hAnsi="Times New Roman" w:cs="Times New Roman"/>
                <w:b/>
                <w:bCs/>
                <w:lang w:val="en-GB" w:eastAsia="en-US"/>
              </w:rPr>
              <w:t>Question:</w:t>
            </w:r>
            <w:r>
              <w:t xml:space="preserve"> </w:t>
            </w:r>
            <w:r w:rsidRPr="00C459A1">
              <w:rPr>
                <w:rFonts w:ascii="Times New Roman" w:hAnsi="Times New Roman" w:cs="Times New Roman"/>
                <w:bCs/>
                <w:lang w:val="en-GB" w:eastAsia="en-US"/>
              </w:rPr>
              <w:t>Please confirm that for the purpose of</w:t>
            </w:r>
            <w:r>
              <w:rPr>
                <w:rFonts w:ascii="Times New Roman" w:hAnsi="Times New Roman" w:cs="Times New Roman"/>
                <w:bCs/>
                <w:lang w:val="en-GB" w:eastAsia="en-US"/>
              </w:rPr>
              <w:t xml:space="preserve"> meeting Economic and financial </w:t>
            </w:r>
            <w:r w:rsidRPr="00C459A1">
              <w:rPr>
                <w:rFonts w:ascii="Times New Roman" w:hAnsi="Times New Roman" w:cs="Times New Roman"/>
                <w:bCs/>
                <w:lang w:val="en-GB" w:eastAsia="en-US"/>
              </w:rPr>
              <w:t>requirements the tenderer can use more than one Capacity-providing</w:t>
            </w:r>
          </w:p>
          <w:p w:rsidR="005D64A5" w:rsidRPr="00C459A1" w:rsidRDefault="005D64A5" w:rsidP="00C459A1">
            <w:pPr>
              <w:jc w:val="both"/>
              <w:rPr>
                <w:rFonts w:ascii="Times New Roman" w:hAnsi="Times New Roman" w:cs="Times New Roman"/>
                <w:bCs/>
                <w:lang w:val="en-GB" w:eastAsia="en-US"/>
              </w:rPr>
            </w:pPr>
            <w:proofErr w:type="gramStart"/>
            <w:r w:rsidRPr="00C459A1">
              <w:rPr>
                <w:rFonts w:ascii="Times New Roman" w:hAnsi="Times New Roman" w:cs="Times New Roman"/>
                <w:bCs/>
                <w:lang w:val="en-GB" w:eastAsia="en-US"/>
              </w:rPr>
              <w:t>entities</w:t>
            </w:r>
            <w:proofErr w:type="gramEnd"/>
            <w:r w:rsidRPr="00C459A1">
              <w:rPr>
                <w:rFonts w:ascii="Times New Roman" w:hAnsi="Times New Roman" w:cs="Times New Roman"/>
                <w:bCs/>
                <w:lang w:val="en-GB" w:eastAsia="en-US"/>
              </w:rPr>
              <w:t xml:space="preserve"> belonging to the same G</w:t>
            </w:r>
            <w:r>
              <w:rPr>
                <w:rFonts w:ascii="Times New Roman" w:hAnsi="Times New Roman" w:cs="Times New Roman"/>
                <w:bCs/>
                <w:lang w:val="en-GB" w:eastAsia="en-US"/>
              </w:rPr>
              <w:t xml:space="preserve">roup (a Parent company or other </w:t>
            </w:r>
            <w:r w:rsidRPr="00C459A1">
              <w:rPr>
                <w:rFonts w:ascii="Times New Roman" w:hAnsi="Times New Roman" w:cs="Times New Roman"/>
                <w:bCs/>
                <w:lang w:val="en-GB" w:eastAsia="en-US"/>
              </w:rPr>
              <w:t>affiliated companies) which are not the members of the consortium.</w:t>
            </w:r>
          </w:p>
        </w:tc>
        <w:tc>
          <w:tcPr>
            <w:tcW w:w="4410" w:type="dxa"/>
          </w:tcPr>
          <w:p w:rsidR="005D64A5" w:rsidRDefault="005D64A5" w:rsidP="006E721F">
            <w:pPr>
              <w:jc w:val="both"/>
              <w:rPr>
                <w:rFonts w:ascii="Times New Roman" w:hAnsi="Times New Roman" w:cs="Times New Roman"/>
                <w:b/>
                <w:lang w:val="en-US"/>
              </w:rPr>
            </w:pPr>
            <w:r w:rsidRPr="006E721F">
              <w:rPr>
                <w:rFonts w:ascii="Times New Roman" w:eastAsia="Calibri" w:hAnsi="Times New Roman" w:cs="Times New Roman"/>
                <w:lang w:val="en-US"/>
              </w:rPr>
              <w:t>Please see the response to the question no. 13.</w:t>
            </w: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16.</w:t>
            </w:r>
          </w:p>
        </w:tc>
        <w:tc>
          <w:tcPr>
            <w:tcW w:w="4140"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Reference: Volume1, Section</w:t>
            </w: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1, part 12.2.1 b)Technical and Professional</w:t>
            </w:r>
          </w:p>
          <w:p w:rsidR="005D64A5" w:rsidRDefault="005D64A5" w:rsidP="006D4244">
            <w:pPr>
              <w:jc w:val="both"/>
              <w:rPr>
                <w:rFonts w:ascii="Times New Roman" w:hAnsi="Times New Roman" w:cs="Times New Roman"/>
                <w:b/>
                <w:bCs/>
                <w:lang w:val="en-GB" w:eastAsia="en-US"/>
              </w:rPr>
            </w:pPr>
          </w:p>
          <w:p w:rsidR="005D64A5" w:rsidRPr="006D4244" w:rsidRDefault="005D64A5" w:rsidP="006D4244">
            <w:pPr>
              <w:jc w:val="both"/>
              <w:rPr>
                <w:rFonts w:ascii="Times New Roman" w:hAnsi="Times New Roman" w:cs="Times New Roman"/>
                <w:bCs/>
                <w:lang w:val="en-GB" w:eastAsia="en-US"/>
              </w:rPr>
            </w:pPr>
            <w:r>
              <w:rPr>
                <w:rFonts w:ascii="Times New Roman" w:hAnsi="Times New Roman" w:cs="Times New Roman"/>
                <w:b/>
                <w:bCs/>
                <w:lang w:val="en-GB" w:eastAsia="en-US"/>
              </w:rPr>
              <w:t>Question:</w:t>
            </w:r>
            <w:r>
              <w:t xml:space="preserve"> </w:t>
            </w:r>
            <w:r w:rsidRPr="006D4244">
              <w:rPr>
                <w:rFonts w:ascii="Times New Roman" w:hAnsi="Times New Roman" w:cs="Times New Roman"/>
                <w:bCs/>
                <w:lang w:val="en-GB" w:eastAsia="en-US"/>
              </w:rPr>
              <w:t>Please confirm that the references selection criteria can be met by</w:t>
            </w:r>
            <w:r>
              <w:rPr>
                <w:rFonts w:ascii="Times New Roman" w:hAnsi="Times New Roman" w:cs="Times New Roman"/>
                <w:bCs/>
                <w:lang w:val="en-GB" w:eastAsia="en-US"/>
              </w:rPr>
              <w:t xml:space="preserve"> </w:t>
            </w:r>
            <w:r w:rsidRPr="006D4244">
              <w:rPr>
                <w:rFonts w:ascii="Times New Roman" w:hAnsi="Times New Roman" w:cs="Times New Roman"/>
                <w:bCs/>
                <w:lang w:val="en-GB" w:eastAsia="en-US"/>
              </w:rPr>
              <w:t>using two different Capacity-providing entities belonging to the same</w:t>
            </w:r>
            <w:r>
              <w:rPr>
                <w:rFonts w:ascii="Times New Roman" w:hAnsi="Times New Roman" w:cs="Times New Roman"/>
                <w:bCs/>
                <w:lang w:val="en-GB" w:eastAsia="en-US"/>
              </w:rPr>
              <w:t xml:space="preserve"> </w:t>
            </w:r>
            <w:r w:rsidRPr="006D4244">
              <w:rPr>
                <w:rFonts w:ascii="Times New Roman" w:hAnsi="Times New Roman" w:cs="Times New Roman"/>
                <w:bCs/>
                <w:lang w:val="en-GB" w:eastAsia="en-US"/>
              </w:rPr>
              <w:t>Group, which are not members of tenderer's consortium.</w:t>
            </w:r>
          </w:p>
        </w:tc>
        <w:tc>
          <w:tcPr>
            <w:tcW w:w="4410" w:type="dxa"/>
          </w:tcPr>
          <w:p w:rsidR="005D64A5" w:rsidRDefault="005D64A5" w:rsidP="006E721F">
            <w:pPr>
              <w:jc w:val="both"/>
              <w:rPr>
                <w:rFonts w:ascii="Times New Roman" w:hAnsi="Times New Roman" w:cs="Times New Roman"/>
                <w:b/>
                <w:lang w:val="en-US"/>
              </w:rPr>
            </w:pPr>
            <w:r w:rsidRPr="006E721F">
              <w:rPr>
                <w:rFonts w:ascii="Times New Roman" w:eastAsia="Calibri" w:hAnsi="Times New Roman" w:cs="Times New Roman"/>
                <w:lang w:val="en-US"/>
              </w:rPr>
              <w:t>Please see the response to the question no. 13.</w:t>
            </w: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17.</w:t>
            </w:r>
          </w:p>
        </w:tc>
        <w:tc>
          <w:tcPr>
            <w:tcW w:w="4140" w:type="dxa"/>
          </w:tcPr>
          <w:p w:rsidR="005D64A5" w:rsidRDefault="005D64A5" w:rsidP="006D4244">
            <w:pPr>
              <w:jc w:val="both"/>
              <w:rPr>
                <w:rFonts w:ascii="Times New Roman" w:hAnsi="Times New Roman" w:cs="Times New Roman"/>
                <w:b/>
                <w:bCs/>
                <w:lang w:val="en-GB" w:eastAsia="en-US"/>
              </w:rPr>
            </w:pPr>
            <w:r w:rsidRPr="006D4244">
              <w:rPr>
                <w:rFonts w:ascii="Times New Roman" w:hAnsi="Times New Roman" w:cs="Times New Roman"/>
                <w:b/>
                <w:bCs/>
                <w:lang w:val="en-GB" w:eastAsia="en-US"/>
              </w:rPr>
              <w:t>Reference: Volume1, Section</w:t>
            </w: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1, part 12.2</w:t>
            </w:r>
            <w:r>
              <w:rPr>
                <w:rFonts w:ascii="Times New Roman" w:hAnsi="Times New Roman" w:cs="Times New Roman"/>
                <w:b/>
                <w:bCs/>
                <w:lang w:val="en-GB" w:eastAsia="en-US"/>
              </w:rPr>
              <w:t>.1 b</w:t>
            </w:r>
            <w:proofErr w:type="gramStart"/>
            <w:r>
              <w:rPr>
                <w:rFonts w:ascii="Times New Roman" w:hAnsi="Times New Roman" w:cs="Times New Roman"/>
                <w:b/>
                <w:bCs/>
                <w:lang w:val="en-GB" w:eastAsia="en-US"/>
              </w:rPr>
              <w:t>)Technical</w:t>
            </w:r>
            <w:proofErr w:type="gramEnd"/>
            <w:r>
              <w:rPr>
                <w:rFonts w:ascii="Times New Roman" w:hAnsi="Times New Roman" w:cs="Times New Roman"/>
                <w:b/>
                <w:bCs/>
                <w:lang w:val="en-GB" w:eastAsia="en-US"/>
              </w:rPr>
              <w:t xml:space="preserve"> and Professional </w:t>
            </w:r>
            <w:r w:rsidRPr="006D4244">
              <w:rPr>
                <w:rFonts w:ascii="Times New Roman" w:hAnsi="Times New Roman" w:cs="Times New Roman"/>
                <w:b/>
                <w:bCs/>
                <w:lang w:val="en-GB" w:eastAsia="en-US"/>
              </w:rPr>
              <w:t>capacity, point 3. - Professional references, paragraph e)</w:t>
            </w:r>
          </w:p>
          <w:p w:rsidR="005D64A5" w:rsidRDefault="005D64A5" w:rsidP="006D4244">
            <w:pPr>
              <w:jc w:val="both"/>
              <w:rPr>
                <w:rFonts w:ascii="Times New Roman" w:hAnsi="Times New Roman" w:cs="Times New Roman"/>
                <w:b/>
                <w:bCs/>
                <w:lang w:val="en-GB" w:eastAsia="en-US"/>
              </w:rPr>
            </w:pPr>
          </w:p>
          <w:p w:rsidR="005D64A5" w:rsidRPr="006D4244" w:rsidRDefault="005D64A5" w:rsidP="006D4244">
            <w:pPr>
              <w:jc w:val="both"/>
              <w:rPr>
                <w:rFonts w:ascii="Times New Roman" w:hAnsi="Times New Roman" w:cs="Times New Roman"/>
                <w:bCs/>
                <w:lang w:val="en-GB" w:eastAsia="en-US"/>
              </w:rPr>
            </w:pPr>
            <w:r>
              <w:rPr>
                <w:rFonts w:ascii="Times New Roman" w:hAnsi="Times New Roman" w:cs="Times New Roman"/>
                <w:b/>
                <w:bCs/>
                <w:lang w:val="en-GB" w:eastAsia="en-US"/>
              </w:rPr>
              <w:t xml:space="preserve">Question: </w:t>
            </w:r>
            <w:r w:rsidRPr="006D4244">
              <w:rPr>
                <w:rFonts w:ascii="Times New Roman" w:hAnsi="Times New Roman" w:cs="Times New Roman"/>
                <w:bCs/>
                <w:lang w:val="en-GB" w:eastAsia="en-US"/>
              </w:rPr>
              <w:t>Please confirm that only complet</w:t>
            </w:r>
            <w:r>
              <w:rPr>
                <w:rFonts w:ascii="Times New Roman" w:hAnsi="Times New Roman" w:cs="Times New Roman"/>
                <w:bCs/>
                <w:lang w:val="en-GB" w:eastAsia="en-US"/>
              </w:rPr>
              <w:t xml:space="preserve">ed contracts, as defined in the </w:t>
            </w:r>
            <w:r w:rsidRPr="006D4244">
              <w:rPr>
                <w:rFonts w:ascii="Times New Roman" w:hAnsi="Times New Roman" w:cs="Times New Roman"/>
                <w:bCs/>
                <w:lang w:val="en-GB" w:eastAsia="en-US"/>
              </w:rPr>
              <w:t xml:space="preserve">paragraph e) of 12.2.1 b), point 3. </w:t>
            </w:r>
            <w:proofErr w:type="gramStart"/>
            <w:r w:rsidRPr="006D4244">
              <w:rPr>
                <w:rFonts w:ascii="Times New Roman" w:hAnsi="Times New Roman" w:cs="Times New Roman"/>
                <w:bCs/>
                <w:lang w:val="en-GB" w:eastAsia="en-US"/>
              </w:rPr>
              <w:t>i</w:t>
            </w:r>
            <w:r>
              <w:rPr>
                <w:rFonts w:ascii="Times New Roman" w:hAnsi="Times New Roman" w:cs="Times New Roman"/>
                <w:bCs/>
                <w:lang w:val="en-GB" w:eastAsia="en-US"/>
              </w:rPr>
              <w:t>n</w:t>
            </w:r>
            <w:proofErr w:type="gramEnd"/>
            <w:r>
              <w:rPr>
                <w:rFonts w:ascii="Times New Roman" w:hAnsi="Times New Roman" w:cs="Times New Roman"/>
                <w:bCs/>
                <w:lang w:val="en-GB" w:eastAsia="en-US"/>
              </w:rPr>
              <w:t xml:space="preserve"> the Tender documentation, are </w:t>
            </w:r>
            <w:r w:rsidRPr="006D4244">
              <w:rPr>
                <w:rFonts w:ascii="Times New Roman" w:hAnsi="Times New Roman" w:cs="Times New Roman"/>
                <w:bCs/>
                <w:lang w:val="en-GB" w:eastAsia="en-US"/>
              </w:rPr>
              <w:t>meeting the Selection criteria.</w:t>
            </w:r>
          </w:p>
        </w:tc>
        <w:tc>
          <w:tcPr>
            <w:tcW w:w="4410" w:type="dxa"/>
          </w:tcPr>
          <w:p w:rsidR="005D64A5" w:rsidRDefault="005D64A5" w:rsidP="006E721F">
            <w:pPr>
              <w:jc w:val="both"/>
              <w:rPr>
                <w:rFonts w:ascii="Times New Roman" w:hAnsi="Times New Roman" w:cs="Times New Roman"/>
                <w:b/>
                <w:lang w:val="en-US"/>
              </w:rPr>
            </w:pPr>
            <w:r w:rsidRPr="006E721F">
              <w:rPr>
                <w:rFonts w:ascii="Times New Roman" w:eastAsia="Calibri" w:hAnsi="Times New Roman" w:cs="Times New Roman"/>
                <w:lang w:val="en-US"/>
              </w:rPr>
              <w:t xml:space="preserve">Please see the response to the question no. </w:t>
            </w:r>
            <w:r>
              <w:rPr>
                <w:rFonts w:ascii="Times New Roman" w:eastAsia="Calibri" w:hAnsi="Times New Roman" w:cs="Times New Roman"/>
                <w:lang w:val="en-US"/>
              </w:rPr>
              <w:t>10</w:t>
            </w:r>
            <w:r w:rsidRPr="006E721F">
              <w:rPr>
                <w:rFonts w:ascii="Times New Roman" w:eastAsia="Calibri" w:hAnsi="Times New Roman" w:cs="Times New Roman"/>
                <w:lang w:val="en-US"/>
              </w:rPr>
              <w:t>.</w:t>
            </w: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18.</w:t>
            </w:r>
          </w:p>
        </w:tc>
        <w:tc>
          <w:tcPr>
            <w:tcW w:w="4140"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Reference: Volume1, Section</w:t>
            </w: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1, part 12.2.3 Capacity-providing entities</w:t>
            </w:r>
          </w:p>
          <w:p w:rsidR="005D64A5" w:rsidRDefault="005D64A5" w:rsidP="006D4244">
            <w:pPr>
              <w:jc w:val="both"/>
              <w:rPr>
                <w:rFonts w:ascii="Times New Roman" w:hAnsi="Times New Roman" w:cs="Times New Roman"/>
                <w:b/>
                <w:bCs/>
                <w:lang w:val="en-GB" w:eastAsia="en-US"/>
              </w:rPr>
            </w:pPr>
          </w:p>
          <w:p w:rsidR="005D64A5" w:rsidRPr="006D4244" w:rsidRDefault="005D64A5" w:rsidP="006D4244">
            <w:pPr>
              <w:jc w:val="both"/>
              <w:rPr>
                <w:rFonts w:ascii="Times New Roman" w:hAnsi="Times New Roman" w:cs="Times New Roman"/>
                <w:bCs/>
                <w:lang w:val="en-GB" w:eastAsia="en-US"/>
              </w:rPr>
            </w:pPr>
            <w:r>
              <w:rPr>
                <w:rFonts w:ascii="Times New Roman" w:hAnsi="Times New Roman" w:cs="Times New Roman"/>
                <w:b/>
                <w:bCs/>
                <w:lang w:val="en-GB" w:eastAsia="en-US"/>
              </w:rPr>
              <w:t>Question:</w:t>
            </w:r>
            <w:r>
              <w:t xml:space="preserve"> </w:t>
            </w:r>
            <w:r w:rsidRPr="006D4244">
              <w:rPr>
                <w:rFonts w:ascii="Times New Roman" w:hAnsi="Times New Roman" w:cs="Times New Roman"/>
                <w:bCs/>
                <w:lang w:val="en-GB" w:eastAsia="en-US"/>
              </w:rPr>
              <w:t>Please confirm that the Capacity-prov</w:t>
            </w:r>
            <w:r>
              <w:rPr>
                <w:rFonts w:ascii="Times New Roman" w:hAnsi="Times New Roman" w:cs="Times New Roman"/>
                <w:bCs/>
                <w:lang w:val="en-GB" w:eastAsia="en-US"/>
              </w:rPr>
              <w:t xml:space="preserve">iding entity will be acceptable </w:t>
            </w:r>
            <w:r w:rsidRPr="006D4244">
              <w:rPr>
                <w:rFonts w:ascii="Times New Roman" w:hAnsi="Times New Roman" w:cs="Times New Roman"/>
                <w:bCs/>
                <w:lang w:val="en-GB" w:eastAsia="en-US"/>
              </w:rPr>
              <w:t xml:space="preserve">only if it belongs to the same Group as </w:t>
            </w:r>
            <w:r>
              <w:rPr>
                <w:rFonts w:ascii="Times New Roman" w:hAnsi="Times New Roman" w:cs="Times New Roman"/>
                <w:bCs/>
                <w:lang w:val="en-GB" w:eastAsia="en-US"/>
              </w:rPr>
              <w:t xml:space="preserve">the tenderer (a parent or other </w:t>
            </w:r>
            <w:r w:rsidRPr="006D4244">
              <w:rPr>
                <w:rFonts w:ascii="Times New Roman" w:hAnsi="Times New Roman" w:cs="Times New Roman"/>
                <w:bCs/>
                <w:lang w:val="en-GB" w:eastAsia="en-US"/>
              </w:rPr>
              <w:t>affiliated company).</w:t>
            </w:r>
          </w:p>
        </w:tc>
        <w:tc>
          <w:tcPr>
            <w:tcW w:w="4410" w:type="dxa"/>
          </w:tcPr>
          <w:p w:rsidR="005D64A5" w:rsidRDefault="00CD4CA1" w:rsidP="006E721F">
            <w:pPr>
              <w:jc w:val="both"/>
              <w:rPr>
                <w:rFonts w:ascii="Times New Roman" w:hAnsi="Times New Roman" w:cs="Times New Roman"/>
                <w:b/>
                <w:lang w:val="en-US"/>
              </w:rPr>
            </w:pPr>
            <w:r w:rsidRPr="00CD4CA1">
              <w:rPr>
                <w:rFonts w:ascii="Times New Roman" w:eastAsia="Calibri" w:hAnsi="Times New Roman" w:cs="Times New Roman"/>
                <w:lang w:val="en-US"/>
              </w:rPr>
              <w:t>Please see the response to the question no. 13.</w:t>
            </w:r>
          </w:p>
        </w:tc>
      </w:tr>
      <w:tr w:rsidR="005D64A5" w:rsidRPr="00EF6833" w:rsidTr="005D64A5">
        <w:tc>
          <w:tcPr>
            <w:tcW w:w="715" w:type="dxa"/>
          </w:tcPr>
          <w:p w:rsidR="005D64A5" w:rsidRPr="006D4244"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19.</w:t>
            </w:r>
          </w:p>
        </w:tc>
        <w:tc>
          <w:tcPr>
            <w:tcW w:w="4140" w:type="dxa"/>
          </w:tcPr>
          <w:p w:rsidR="005D64A5" w:rsidRPr="006D4244" w:rsidRDefault="005D64A5" w:rsidP="006D4244">
            <w:pPr>
              <w:jc w:val="both"/>
              <w:rPr>
                <w:rFonts w:ascii="Times New Roman" w:hAnsi="Times New Roman" w:cs="Times New Roman"/>
              </w:rPr>
            </w:pPr>
            <w:r w:rsidRPr="006D4244">
              <w:rPr>
                <w:rFonts w:ascii="Times New Roman" w:hAnsi="Times New Roman" w:cs="Times New Roman"/>
              </w:rPr>
              <w:t xml:space="preserve"> </w:t>
            </w:r>
            <w:r w:rsidRPr="006D4244">
              <w:rPr>
                <w:rFonts w:ascii="Times New Roman" w:hAnsi="Times New Roman" w:cs="Times New Roman"/>
                <w:b/>
                <w:bCs/>
                <w:lang w:val="en-GB"/>
              </w:rPr>
              <w:t>Reference: Volume1, Section</w:t>
            </w:r>
            <w:r>
              <w:rPr>
                <w:rFonts w:ascii="Times New Roman" w:hAnsi="Times New Roman" w:cs="Times New Roman"/>
                <w:b/>
                <w:bCs/>
                <w:lang w:val="en-GB"/>
              </w:rPr>
              <w:t xml:space="preserve"> </w:t>
            </w:r>
            <w:r w:rsidRPr="006D4244">
              <w:rPr>
                <w:rFonts w:ascii="Times New Roman" w:hAnsi="Times New Roman" w:cs="Times New Roman"/>
                <w:b/>
                <w:bCs/>
                <w:lang w:val="en-GB"/>
              </w:rPr>
              <w:t>1, part 12.2.3 Capacity-providing entities</w:t>
            </w:r>
          </w:p>
          <w:p w:rsidR="005D64A5" w:rsidRPr="006D4244" w:rsidRDefault="005D64A5" w:rsidP="006D4244">
            <w:pPr>
              <w:jc w:val="both"/>
              <w:rPr>
                <w:rFonts w:ascii="Times New Roman" w:hAnsi="Times New Roman" w:cs="Times New Roman"/>
              </w:rPr>
            </w:pPr>
          </w:p>
          <w:p w:rsidR="005D64A5" w:rsidRPr="006D4244" w:rsidRDefault="005D64A5" w:rsidP="006D4244">
            <w:pPr>
              <w:jc w:val="both"/>
              <w:rPr>
                <w:rFonts w:ascii="Times New Roman" w:hAnsi="Times New Roman" w:cs="Times New Roman"/>
                <w:bCs/>
                <w:lang w:val="en-GB" w:eastAsia="en-US"/>
              </w:rPr>
            </w:pPr>
            <w:r w:rsidRPr="006D4244">
              <w:rPr>
                <w:rFonts w:ascii="Times New Roman" w:hAnsi="Times New Roman" w:cs="Times New Roman"/>
                <w:b/>
              </w:rPr>
              <w:t>Question:</w:t>
            </w:r>
            <w:r w:rsidRPr="006D4244">
              <w:rPr>
                <w:rFonts w:ascii="Times New Roman" w:hAnsi="Times New Roman" w:cs="Times New Roman"/>
              </w:rPr>
              <w:t xml:space="preserve"> </w:t>
            </w:r>
            <w:r w:rsidRPr="006D4244">
              <w:rPr>
                <w:rFonts w:ascii="Times New Roman" w:hAnsi="Times New Roman" w:cs="Times New Roman"/>
                <w:bCs/>
                <w:lang w:val="en-GB" w:eastAsia="en-US"/>
              </w:rPr>
              <w:t>Please confirm that it will be acceptabl</w:t>
            </w:r>
            <w:r>
              <w:rPr>
                <w:rFonts w:ascii="Times New Roman" w:hAnsi="Times New Roman" w:cs="Times New Roman"/>
                <w:bCs/>
                <w:lang w:val="en-GB" w:eastAsia="en-US"/>
              </w:rPr>
              <w:t xml:space="preserve">e for the Contracting authority </w:t>
            </w:r>
            <w:r w:rsidRPr="006D4244">
              <w:rPr>
                <w:rFonts w:ascii="Times New Roman" w:hAnsi="Times New Roman" w:cs="Times New Roman"/>
                <w:bCs/>
                <w:lang w:val="en-GB" w:eastAsia="en-US"/>
              </w:rPr>
              <w:t>if the Capacity-providing entity will not</w:t>
            </w:r>
            <w:r>
              <w:rPr>
                <w:rFonts w:ascii="Times New Roman" w:hAnsi="Times New Roman" w:cs="Times New Roman"/>
                <w:bCs/>
                <w:lang w:val="en-GB" w:eastAsia="en-US"/>
              </w:rPr>
              <w:t xml:space="preserve"> be a member of consortium or a </w:t>
            </w:r>
            <w:r w:rsidRPr="006D4244">
              <w:rPr>
                <w:rFonts w:ascii="Times New Roman" w:hAnsi="Times New Roman" w:cs="Times New Roman"/>
                <w:bCs/>
                <w:lang w:val="en-GB" w:eastAsia="en-US"/>
              </w:rPr>
              <w:t>Joint Venture of the tenderer.</w:t>
            </w:r>
          </w:p>
        </w:tc>
        <w:tc>
          <w:tcPr>
            <w:tcW w:w="4410" w:type="dxa"/>
          </w:tcPr>
          <w:p w:rsidR="005D64A5" w:rsidRDefault="00CD4CA1" w:rsidP="006E721F">
            <w:pPr>
              <w:jc w:val="both"/>
              <w:rPr>
                <w:rFonts w:ascii="Times New Roman" w:hAnsi="Times New Roman" w:cs="Times New Roman"/>
                <w:b/>
                <w:lang w:val="en-US"/>
              </w:rPr>
            </w:pPr>
            <w:r w:rsidRPr="00CD4CA1">
              <w:rPr>
                <w:rFonts w:ascii="Times New Roman" w:hAnsi="Times New Roman" w:cs="Times New Roman"/>
                <w:lang w:val="en-US"/>
              </w:rPr>
              <w:t>Please see the response to the question no. 13.</w:t>
            </w: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lastRenderedPageBreak/>
              <w:t>20.</w:t>
            </w:r>
          </w:p>
        </w:tc>
        <w:tc>
          <w:tcPr>
            <w:tcW w:w="4140" w:type="dxa"/>
          </w:tcPr>
          <w:p w:rsidR="005D64A5" w:rsidRDefault="005D64A5" w:rsidP="006D4244">
            <w:pPr>
              <w:jc w:val="both"/>
              <w:rPr>
                <w:rFonts w:ascii="Times New Roman" w:hAnsi="Times New Roman" w:cs="Times New Roman"/>
                <w:b/>
                <w:bCs/>
                <w:lang w:val="en-GB" w:eastAsia="en-US"/>
              </w:rPr>
            </w:pPr>
            <w:r w:rsidRPr="006D4244">
              <w:rPr>
                <w:rFonts w:ascii="Times New Roman" w:hAnsi="Times New Roman" w:cs="Times New Roman"/>
                <w:b/>
                <w:bCs/>
                <w:lang w:val="en-GB" w:eastAsia="en-US"/>
              </w:rPr>
              <w:t>Reference: Volume1, Section</w:t>
            </w:r>
            <w:r>
              <w:rPr>
                <w:rFonts w:ascii="Times New Roman" w:hAnsi="Times New Roman" w:cs="Times New Roman"/>
                <w:b/>
                <w:bCs/>
                <w:lang w:val="en-GB" w:eastAsia="en-US"/>
              </w:rPr>
              <w:t xml:space="preserve"> </w:t>
            </w:r>
            <w:r w:rsidRPr="006D4244">
              <w:rPr>
                <w:rFonts w:ascii="Times New Roman" w:hAnsi="Times New Roman" w:cs="Times New Roman"/>
                <w:b/>
                <w:bCs/>
                <w:lang w:val="en-GB" w:eastAsia="en-US"/>
              </w:rPr>
              <w:t>1, part 12.2.3 Capacity-providing entities</w:t>
            </w:r>
          </w:p>
          <w:p w:rsidR="005D64A5" w:rsidRDefault="005D64A5" w:rsidP="006D4244">
            <w:pPr>
              <w:jc w:val="both"/>
              <w:rPr>
                <w:rFonts w:ascii="Times New Roman" w:hAnsi="Times New Roman" w:cs="Times New Roman"/>
                <w:b/>
                <w:bCs/>
                <w:lang w:val="en-GB" w:eastAsia="en-US"/>
              </w:rPr>
            </w:pPr>
          </w:p>
          <w:p w:rsidR="005D64A5" w:rsidRPr="007B1BD9" w:rsidRDefault="005D64A5" w:rsidP="007B1BD9">
            <w:pPr>
              <w:jc w:val="both"/>
              <w:rPr>
                <w:rFonts w:ascii="Times New Roman" w:hAnsi="Times New Roman" w:cs="Times New Roman"/>
                <w:bCs/>
                <w:lang w:val="en-GB" w:eastAsia="en-US"/>
              </w:rPr>
            </w:pPr>
            <w:r>
              <w:rPr>
                <w:rFonts w:ascii="Times New Roman" w:hAnsi="Times New Roman" w:cs="Times New Roman"/>
                <w:b/>
                <w:bCs/>
                <w:lang w:val="en-GB" w:eastAsia="en-US"/>
              </w:rPr>
              <w:t xml:space="preserve">Question: </w:t>
            </w:r>
            <w:r w:rsidRPr="007B1BD9">
              <w:rPr>
                <w:rFonts w:ascii="Times New Roman" w:hAnsi="Times New Roman" w:cs="Times New Roman"/>
                <w:bCs/>
                <w:lang w:val="en-GB" w:eastAsia="en-US"/>
              </w:rPr>
              <w:t>In case a tenderer will rely on the capac</w:t>
            </w:r>
            <w:r>
              <w:rPr>
                <w:rFonts w:ascii="Times New Roman" w:hAnsi="Times New Roman" w:cs="Times New Roman"/>
                <w:bCs/>
                <w:lang w:val="en-GB" w:eastAsia="en-US"/>
              </w:rPr>
              <w:t xml:space="preserve">ity of other Capacity-providing </w:t>
            </w:r>
            <w:r w:rsidRPr="007B1BD9">
              <w:rPr>
                <w:rFonts w:ascii="Times New Roman" w:hAnsi="Times New Roman" w:cs="Times New Roman"/>
                <w:bCs/>
                <w:lang w:val="en-GB" w:eastAsia="en-US"/>
              </w:rPr>
              <w:t>entities, please specify the following</w:t>
            </w:r>
            <w:r>
              <w:rPr>
                <w:rFonts w:ascii="Times New Roman" w:hAnsi="Times New Roman" w:cs="Times New Roman"/>
                <w:bCs/>
                <w:lang w:val="en-GB" w:eastAsia="en-US"/>
              </w:rPr>
              <w:t xml:space="preserve">: a. Please confirm a statement </w:t>
            </w:r>
            <w:r w:rsidRPr="007B1BD9">
              <w:rPr>
                <w:rFonts w:ascii="Times New Roman" w:hAnsi="Times New Roman" w:cs="Times New Roman"/>
                <w:bCs/>
                <w:lang w:val="en-GB" w:eastAsia="en-US"/>
              </w:rPr>
              <w:t>issued by the Capacity-providing entity will be acceptable for the</w:t>
            </w:r>
          </w:p>
          <w:p w:rsidR="005D64A5" w:rsidRPr="007B1BD9" w:rsidRDefault="005D64A5" w:rsidP="007B1BD9">
            <w:pPr>
              <w:jc w:val="both"/>
              <w:rPr>
                <w:rFonts w:ascii="Times New Roman" w:hAnsi="Times New Roman" w:cs="Times New Roman"/>
                <w:bCs/>
                <w:lang w:val="en-GB" w:eastAsia="en-US"/>
              </w:rPr>
            </w:pPr>
            <w:r w:rsidRPr="007B1BD9">
              <w:rPr>
                <w:rFonts w:ascii="Times New Roman" w:hAnsi="Times New Roman" w:cs="Times New Roman"/>
                <w:bCs/>
                <w:lang w:val="en-GB" w:eastAsia="en-US"/>
              </w:rPr>
              <w:t>Contracting authority to prove the Ten</w:t>
            </w:r>
            <w:r>
              <w:rPr>
                <w:rFonts w:ascii="Times New Roman" w:hAnsi="Times New Roman" w:cs="Times New Roman"/>
                <w:bCs/>
                <w:lang w:val="en-GB" w:eastAsia="en-US"/>
              </w:rPr>
              <w:t xml:space="preserve">derer will have at its disposal </w:t>
            </w:r>
            <w:r w:rsidRPr="007B1BD9">
              <w:rPr>
                <w:rFonts w:ascii="Times New Roman" w:hAnsi="Times New Roman" w:cs="Times New Roman"/>
                <w:bCs/>
                <w:lang w:val="en-GB" w:eastAsia="en-US"/>
              </w:rPr>
              <w:t>the resources necessary to perform</w:t>
            </w:r>
            <w:r>
              <w:rPr>
                <w:rFonts w:ascii="Times New Roman" w:hAnsi="Times New Roman" w:cs="Times New Roman"/>
                <w:bCs/>
                <w:lang w:val="en-GB" w:eastAsia="en-US"/>
              </w:rPr>
              <w:t xml:space="preserve"> the contract? b. Which kind of </w:t>
            </w:r>
            <w:r w:rsidRPr="007B1BD9">
              <w:rPr>
                <w:rFonts w:ascii="Times New Roman" w:hAnsi="Times New Roman" w:cs="Times New Roman"/>
                <w:bCs/>
                <w:lang w:val="en-GB" w:eastAsia="en-US"/>
              </w:rPr>
              <w:t>commitment the Contracting authority</w:t>
            </w:r>
            <w:r>
              <w:rPr>
                <w:rFonts w:ascii="Times New Roman" w:hAnsi="Times New Roman" w:cs="Times New Roman"/>
                <w:bCs/>
                <w:lang w:val="en-GB" w:eastAsia="en-US"/>
              </w:rPr>
              <w:t xml:space="preserve"> will request from the Capacity </w:t>
            </w:r>
            <w:r w:rsidRPr="007B1BD9">
              <w:rPr>
                <w:rFonts w:ascii="Times New Roman" w:hAnsi="Times New Roman" w:cs="Times New Roman"/>
                <w:bCs/>
                <w:lang w:val="en-GB" w:eastAsia="en-US"/>
              </w:rPr>
              <w:t>providing entity? c. Which documents should be provided by the</w:t>
            </w:r>
          </w:p>
          <w:p w:rsidR="005D64A5" w:rsidRPr="007B1BD9" w:rsidRDefault="005D64A5" w:rsidP="007B1BD9">
            <w:pPr>
              <w:jc w:val="both"/>
              <w:rPr>
                <w:rFonts w:ascii="Times New Roman" w:hAnsi="Times New Roman" w:cs="Times New Roman"/>
                <w:bCs/>
                <w:lang w:val="en-GB" w:eastAsia="en-US"/>
              </w:rPr>
            </w:pPr>
            <w:r w:rsidRPr="007B1BD9">
              <w:rPr>
                <w:rFonts w:ascii="Times New Roman" w:hAnsi="Times New Roman" w:cs="Times New Roman"/>
                <w:bCs/>
                <w:lang w:val="en-GB" w:eastAsia="en-US"/>
              </w:rPr>
              <w:t>Capacity-providing entities to prove</w:t>
            </w:r>
            <w:r>
              <w:rPr>
                <w:rFonts w:ascii="Times New Roman" w:hAnsi="Times New Roman" w:cs="Times New Roman"/>
                <w:bCs/>
                <w:lang w:val="en-GB" w:eastAsia="en-US"/>
              </w:rPr>
              <w:t xml:space="preserve"> they comply with the selection </w:t>
            </w:r>
            <w:r w:rsidRPr="007B1BD9">
              <w:rPr>
                <w:rFonts w:ascii="Times New Roman" w:hAnsi="Times New Roman" w:cs="Times New Roman"/>
                <w:bCs/>
                <w:lang w:val="en-GB" w:eastAsia="en-US"/>
              </w:rPr>
              <w:t>criteria for which the economic ope</w:t>
            </w:r>
            <w:r>
              <w:rPr>
                <w:rFonts w:ascii="Times New Roman" w:hAnsi="Times New Roman" w:cs="Times New Roman"/>
                <w:bCs/>
                <w:lang w:val="en-GB" w:eastAsia="en-US"/>
              </w:rPr>
              <w:t xml:space="preserve">rator relies on them? d. Please </w:t>
            </w:r>
            <w:r w:rsidRPr="007B1BD9">
              <w:rPr>
                <w:rFonts w:ascii="Times New Roman" w:hAnsi="Times New Roman" w:cs="Times New Roman"/>
                <w:bCs/>
                <w:lang w:val="en-GB" w:eastAsia="en-US"/>
              </w:rPr>
              <w:t>clarify how the Capacity-providing ent</w:t>
            </w:r>
            <w:r>
              <w:rPr>
                <w:rFonts w:ascii="Times New Roman" w:hAnsi="Times New Roman" w:cs="Times New Roman"/>
                <w:bCs/>
                <w:lang w:val="en-GB" w:eastAsia="en-US"/>
              </w:rPr>
              <w:t xml:space="preserve">ity will prove they respect the </w:t>
            </w:r>
            <w:r w:rsidRPr="007B1BD9">
              <w:rPr>
                <w:rFonts w:ascii="Times New Roman" w:hAnsi="Times New Roman" w:cs="Times New Roman"/>
                <w:bCs/>
                <w:lang w:val="en-GB" w:eastAsia="en-US"/>
              </w:rPr>
              <w:t>same rules of eligibility and notably that of nationality as the</w:t>
            </w:r>
          </w:p>
          <w:p w:rsidR="005D64A5" w:rsidRDefault="005D64A5" w:rsidP="007B1BD9">
            <w:pPr>
              <w:jc w:val="both"/>
              <w:rPr>
                <w:rFonts w:ascii="Times New Roman" w:hAnsi="Times New Roman" w:cs="Times New Roman"/>
                <w:b/>
                <w:bCs/>
                <w:lang w:val="en-GB" w:eastAsia="en-US"/>
              </w:rPr>
            </w:pPr>
            <w:proofErr w:type="gramStart"/>
            <w:r w:rsidRPr="007B1BD9">
              <w:rPr>
                <w:rFonts w:ascii="Times New Roman" w:hAnsi="Times New Roman" w:cs="Times New Roman"/>
                <w:bCs/>
                <w:lang w:val="en-GB" w:eastAsia="en-US"/>
              </w:rPr>
              <w:t>economic</w:t>
            </w:r>
            <w:proofErr w:type="gramEnd"/>
            <w:r w:rsidRPr="007B1BD9">
              <w:rPr>
                <w:rFonts w:ascii="Times New Roman" w:hAnsi="Times New Roman" w:cs="Times New Roman"/>
                <w:bCs/>
                <w:lang w:val="en-GB" w:eastAsia="en-US"/>
              </w:rPr>
              <w:t xml:space="preserve"> operator relying on them?</w:t>
            </w:r>
          </w:p>
        </w:tc>
        <w:tc>
          <w:tcPr>
            <w:tcW w:w="4410" w:type="dxa"/>
          </w:tcPr>
          <w:p w:rsidR="005D64A5" w:rsidRPr="001910DF" w:rsidRDefault="005D64A5" w:rsidP="006E721F">
            <w:pPr>
              <w:pStyle w:val="NormalWeb"/>
              <w:jc w:val="both"/>
              <w:rPr>
                <w:sz w:val="22"/>
                <w:szCs w:val="22"/>
                <w:lang w:val="en-GB"/>
              </w:rPr>
            </w:pPr>
            <w:r w:rsidRPr="001910DF">
              <w:rPr>
                <w:sz w:val="22"/>
                <w:szCs w:val="22"/>
                <w:lang w:val="en-GB"/>
              </w:rPr>
              <w:t xml:space="preserve">Commitment is commonly </w:t>
            </w:r>
            <w:r>
              <w:rPr>
                <w:sz w:val="22"/>
                <w:szCs w:val="22"/>
                <w:lang w:val="en-GB"/>
              </w:rPr>
              <w:t>demonstrated</w:t>
            </w:r>
            <w:r w:rsidRPr="001910DF">
              <w:rPr>
                <w:sz w:val="22"/>
                <w:szCs w:val="22"/>
                <w:lang w:val="en-GB"/>
              </w:rPr>
              <w:t xml:space="preserve"> by the signed Letter of undertaking </w:t>
            </w:r>
            <w:r>
              <w:rPr>
                <w:sz w:val="22"/>
                <w:szCs w:val="22"/>
                <w:lang w:val="en-GB"/>
              </w:rPr>
              <w:t xml:space="preserve">provided </w:t>
            </w:r>
            <w:r w:rsidRPr="001910DF">
              <w:rPr>
                <w:sz w:val="22"/>
                <w:szCs w:val="22"/>
                <w:lang w:val="en-GB"/>
              </w:rPr>
              <w:t>by the capacity providing entity</w:t>
            </w:r>
            <w:r>
              <w:rPr>
                <w:sz w:val="22"/>
                <w:szCs w:val="22"/>
                <w:lang w:val="en-GB"/>
              </w:rPr>
              <w:t>,</w:t>
            </w:r>
            <w:r w:rsidRPr="001910DF">
              <w:rPr>
                <w:sz w:val="22"/>
                <w:szCs w:val="22"/>
                <w:lang w:val="en-GB"/>
              </w:rPr>
              <w:t xml:space="preserve"> specifying in clear and univocal manner: </w:t>
            </w:r>
          </w:p>
          <w:p w:rsidR="005D64A5" w:rsidRPr="00312F5F" w:rsidRDefault="005D64A5" w:rsidP="006E721F">
            <w:pPr>
              <w:pStyle w:val="NormalWeb"/>
              <w:numPr>
                <w:ilvl w:val="0"/>
                <w:numId w:val="9"/>
              </w:numPr>
              <w:rPr>
                <w:sz w:val="22"/>
                <w:szCs w:val="22"/>
                <w:lang w:val="en-GB"/>
              </w:rPr>
            </w:pPr>
            <w:r w:rsidRPr="001910DF">
              <w:rPr>
                <w:sz w:val="22"/>
                <w:szCs w:val="22"/>
                <w:lang w:val="en-GB"/>
              </w:rPr>
              <w:t>reference to the particular tender procedure (contract title, identification number) in the context of which capacity is provided</w:t>
            </w:r>
          </w:p>
          <w:p w:rsidR="005D64A5" w:rsidRDefault="005D64A5" w:rsidP="006E721F">
            <w:pPr>
              <w:pStyle w:val="NormalWeb"/>
              <w:numPr>
                <w:ilvl w:val="0"/>
                <w:numId w:val="9"/>
              </w:numPr>
              <w:rPr>
                <w:sz w:val="22"/>
                <w:szCs w:val="22"/>
                <w:lang w:val="en-GB"/>
              </w:rPr>
            </w:pPr>
            <w:r w:rsidRPr="001910DF">
              <w:rPr>
                <w:sz w:val="22"/>
                <w:szCs w:val="22"/>
                <w:lang w:val="en-GB"/>
              </w:rPr>
              <w:t>exact capacity/resources which are put at the at the tenderer’s disposal for the purpose of execution of particular contract</w:t>
            </w:r>
          </w:p>
          <w:p w:rsidR="005D64A5" w:rsidRPr="00312F5F" w:rsidRDefault="005D64A5" w:rsidP="006E721F">
            <w:pPr>
              <w:pStyle w:val="NormalWeb"/>
              <w:numPr>
                <w:ilvl w:val="0"/>
                <w:numId w:val="9"/>
              </w:numPr>
              <w:rPr>
                <w:sz w:val="22"/>
                <w:szCs w:val="22"/>
                <w:lang w:val="en-GB"/>
              </w:rPr>
            </w:pPr>
            <w:r w:rsidRPr="001910DF">
              <w:rPr>
                <w:sz w:val="22"/>
                <w:szCs w:val="22"/>
                <w:lang w:val="en-GB"/>
              </w:rPr>
              <w:t xml:space="preserve">identity of the tenderer to whom specific capacity is extended  </w:t>
            </w:r>
          </w:p>
          <w:p w:rsidR="005D64A5" w:rsidRPr="001910DF" w:rsidRDefault="005D64A5" w:rsidP="006E721F">
            <w:pPr>
              <w:pStyle w:val="Heading3"/>
              <w:ind w:left="0"/>
              <w:outlineLvl w:val="2"/>
              <w:rPr>
                <w:rFonts w:eastAsiaTheme="minorHAnsi"/>
                <w:b w:val="0"/>
                <w:i/>
                <w:iCs/>
                <w:lang w:eastAsia="en-US"/>
              </w:rPr>
            </w:pPr>
            <w:r w:rsidRPr="001910DF">
              <w:rPr>
                <w:b w:val="0"/>
                <w:bCs/>
                <w:lang w:eastAsia="en-US"/>
              </w:rPr>
              <w:t xml:space="preserve">As stated in the Volume 1, Section 1 – Instructions to tenderers, Clause 3.3 concerning rule of nationality, </w:t>
            </w:r>
            <w:proofErr w:type="gramStart"/>
            <w:r w:rsidRPr="001910DF">
              <w:rPr>
                <w:rFonts w:eastAsiaTheme="minorHAnsi"/>
                <w:b w:val="0"/>
                <w:i/>
                <w:iCs/>
                <w:lang w:eastAsia="en-US"/>
              </w:rPr>
              <w:t>The</w:t>
            </w:r>
            <w:proofErr w:type="gramEnd"/>
            <w:r w:rsidRPr="001910DF">
              <w:rPr>
                <w:rFonts w:eastAsiaTheme="minorHAnsi"/>
                <w:b w:val="0"/>
                <w:i/>
                <w:iCs/>
                <w:lang w:eastAsia="en-US"/>
              </w:rPr>
              <w:t xml:space="preserve"> eligibility requirement detailed in </w:t>
            </w:r>
            <w:proofErr w:type="spellStart"/>
            <w:r w:rsidRPr="001910DF">
              <w:rPr>
                <w:rFonts w:eastAsiaTheme="minorHAnsi"/>
                <w:b w:val="0"/>
                <w:i/>
                <w:iCs/>
                <w:lang w:eastAsia="en-US"/>
              </w:rPr>
              <w:t>subclauses</w:t>
            </w:r>
            <w:proofErr w:type="spellEnd"/>
            <w:r w:rsidRPr="001910DF">
              <w:rPr>
                <w:rFonts w:eastAsiaTheme="minorHAnsi"/>
                <w:b w:val="0"/>
                <w:i/>
                <w:iCs/>
                <w:lang w:eastAsia="en-US"/>
              </w:rPr>
              <w:t xml:space="preserve">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and every supplier must certify that they meet these conditions. </w:t>
            </w:r>
          </w:p>
          <w:p w:rsidR="005D64A5" w:rsidRPr="001910DF" w:rsidRDefault="005D64A5" w:rsidP="006E721F">
            <w:pPr>
              <w:pStyle w:val="Heading3"/>
              <w:ind w:left="0"/>
              <w:outlineLvl w:val="2"/>
              <w:rPr>
                <w:rFonts w:eastAsiaTheme="minorHAnsi"/>
                <w:b w:val="0"/>
                <w:i/>
                <w:iCs/>
                <w:lang w:eastAsia="en-US"/>
              </w:rPr>
            </w:pPr>
            <w:r w:rsidRPr="001910DF">
              <w:rPr>
                <w:rFonts w:eastAsiaTheme="minorHAnsi"/>
                <w:b w:val="0"/>
                <w:i/>
                <w:iCs/>
                <w:lang w:eastAsia="en-US"/>
              </w:rPr>
              <w:t>They must prove their eligibility by a document dated less than one year earlier than the deadline for submitting tenders, drawn up in accordance with their national law or practice or by copies of the original documents stating the</w:t>
            </w:r>
            <w:r w:rsidRPr="001910DF">
              <w:rPr>
                <w:i/>
                <w:iCs/>
              </w:rPr>
              <w:t xml:space="preserve"> </w:t>
            </w:r>
            <w:r w:rsidRPr="001910DF">
              <w:rPr>
                <w:rFonts w:eastAsiaTheme="minorHAnsi"/>
                <w:b w:val="0"/>
                <w:i/>
                <w:iCs/>
                <w:lang w:eastAsia="en-US"/>
              </w:rPr>
              <w:t xml:space="preserve">constitution and/or legal status and the place of registration and/or statutory seat and, if it is different, the place of central administration. The contracting authority may accept other satisfactory evidence that these conditions are met. </w:t>
            </w:r>
          </w:p>
          <w:p w:rsidR="005D64A5" w:rsidRPr="001910DF" w:rsidRDefault="005D64A5" w:rsidP="006E721F">
            <w:pPr>
              <w:jc w:val="both"/>
              <w:rPr>
                <w:rFonts w:ascii="Times New Roman" w:hAnsi="Times New Roman" w:cs="Times New Roman"/>
                <w:lang w:val="en-GB" w:eastAsia="en-US"/>
              </w:rPr>
            </w:pPr>
          </w:p>
          <w:p w:rsidR="005D64A5" w:rsidRPr="001910DF" w:rsidRDefault="005D64A5" w:rsidP="006E721F">
            <w:pPr>
              <w:jc w:val="both"/>
              <w:rPr>
                <w:rFonts w:ascii="Times New Roman" w:hAnsi="Times New Roman" w:cs="Times New Roman"/>
                <w:lang w:val="en-GB" w:eastAsia="en-US"/>
              </w:rPr>
            </w:pPr>
            <w:r w:rsidRPr="001910DF">
              <w:rPr>
                <w:rFonts w:ascii="Times New Roman" w:hAnsi="Times New Roman" w:cs="Times New Roman"/>
                <w:lang w:val="en-GB" w:eastAsia="en-US"/>
              </w:rPr>
              <w:t xml:space="preserve">In respect of the grounds of exclusion, your attention is drawn to the Clause 3.4 of the Instructions to tenderers: </w:t>
            </w:r>
          </w:p>
          <w:p w:rsidR="005D64A5" w:rsidRPr="001910DF" w:rsidRDefault="005D64A5" w:rsidP="006E721F">
            <w:pPr>
              <w:jc w:val="both"/>
              <w:rPr>
                <w:rFonts w:ascii="Times New Roman" w:hAnsi="Times New Roman" w:cs="Times New Roman"/>
                <w:i/>
                <w:iCs/>
                <w:lang w:val="en-GB" w:eastAsia="en-US"/>
              </w:rPr>
            </w:pPr>
            <w:r w:rsidRPr="001910DF">
              <w:rPr>
                <w:rFonts w:ascii="Times New Roman" w:hAnsi="Times New Roman" w:cs="Times New Roman"/>
                <w:i/>
                <w:iCs/>
                <w:lang w:val="en-GB" w:eastAsia="en-US"/>
              </w:rPr>
              <w:t xml:space="preserve">Tenderers must provide declarations to the effect that they are not in any of the exclusion situations listed in Section 2.6.10.1. </w:t>
            </w:r>
            <w:proofErr w:type="gramStart"/>
            <w:r w:rsidRPr="001910DF">
              <w:rPr>
                <w:rFonts w:ascii="Times New Roman" w:hAnsi="Times New Roman" w:cs="Times New Roman"/>
                <w:i/>
                <w:iCs/>
                <w:lang w:val="en-GB" w:eastAsia="en-US"/>
              </w:rPr>
              <w:t>of</w:t>
            </w:r>
            <w:proofErr w:type="gramEnd"/>
            <w:r w:rsidRPr="001910DF">
              <w:rPr>
                <w:rFonts w:ascii="Times New Roman" w:hAnsi="Times New Roman" w:cs="Times New Roman"/>
                <w:i/>
                <w:iCs/>
                <w:lang w:val="en-GB" w:eastAsia="en-US"/>
              </w:rPr>
              <w:t xml:space="preserve"> the </w:t>
            </w:r>
            <w:r w:rsidRPr="001910DF">
              <w:rPr>
                <w:rFonts w:ascii="Times New Roman" w:hAnsi="Times New Roman" w:cs="Times New Roman"/>
                <w:i/>
                <w:iCs/>
                <w:lang w:val="en-GB" w:eastAsia="en-US"/>
              </w:rPr>
              <w:lastRenderedPageBreak/>
              <w:t>practical guide. The declarations must cover all the members of a joint venture/consortium and must also be submitted by any sub-contractor or capacity providing entity.</w:t>
            </w:r>
          </w:p>
          <w:p w:rsidR="005D64A5" w:rsidRDefault="005D64A5" w:rsidP="00824E0F">
            <w:pPr>
              <w:ind w:left="360"/>
              <w:jc w:val="both"/>
              <w:rPr>
                <w:rFonts w:ascii="Times New Roman" w:hAnsi="Times New Roman" w:cs="Times New Roman"/>
                <w:b/>
                <w:lang w:val="en-US"/>
              </w:rPr>
            </w:pP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lastRenderedPageBreak/>
              <w:t>21.</w:t>
            </w:r>
          </w:p>
        </w:tc>
        <w:tc>
          <w:tcPr>
            <w:tcW w:w="4140"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Technical Qualifications</w:t>
            </w:r>
          </w:p>
          <w:p w:rsidR="005D64A5" w:rsidRDefault="005D64A5" w:rsidP="006D4244">
            <w:pPr>
              <w:jc w:val="both"/>
              <w:rPr>
                <w:rFonts w:ascii="Times New Roman" w:hAnsi="Times New Roman" w:cs="Times New Roman"/>
                <w:b/>
                <w:bCs/>
                <w:lang w:val="en-GB" w:eastAsia="en-US"/>
              </w:rPr>
            </w:pPr>
          </w:p>
          <w:p w:rsidR="005D64A5" w:rsidRPr="007B1BD9" w:rsidRDefault="005D64A5" w:rsidP="007B1BD9">
            <w:pPr>
              <w:jc w:val="both"/>
              <w:rPr>
                <w:rFonts w:ascii="Times New Roman" w:hAnsi="Times New Roman" w:cs="Times New Roman"/>
                <w:bCs/>
                <w:lang w:val="en-GB" w:eastAsia="en-US"/>
              </w:rPr>
            </w:pPr>
            <w:r>
              <w:rPr>
                <w:rFonts w:ascii="Times New Roman" w:hAnsi="Times New Roman" w:cs="Times New Roman"/>
                <w:b/>
                <w:bCs/>
                <w:lang w:val="en-GB" w:eastAsia="en-US"/>
              </w:rPr>
              <w:t>Question:</w:t>
            </w:r>
            <w:r>
              <w:t xml:space="preserve"> </w:t>
            </w:r>
            <w:r w:rsidRPr="007B1BD9">
              <w:rPr>
                <w:rFonts w:ascii="Times New Roman" w:hAnsi="Times New Roman" w:cs="Times New Roman"/>
                <w:bCs/>
                <w:lang w:val="en-GB" w:eastAsia="en-US"/>
              </w:rPr>
              <w:t>For the technical qualifications; do we</w:t>
            </w:r>
            <w:r>
              <w:rPr>
                <w:rFonts w:ascii="Times New Roman" w:hAnsi="Times New Roman" w:cs="Times New Roman"/>
                <w:bCs/>
                <w:lang w:val="en-GB" w:eastAsia="en-US"/>
              </w:rPr>
              <w:t xml:space="preserve"> need to meet the criteria as a </w:t>
            </w:r>
            <w:r w:rsidRPr="007B1BD9">
              <w:rPr>
                <w:rFonts w:ascii="Times New Roman" w:hAnsi="Times New Roman" w:cs="Times New Roman"/>
                <w:bCs/>
                <w:lang w:val="en-GB" w:eastAsia="en-US"/>
              </w:rPr>
              <w:t>JV or as per company? As a one compa</w:t>
            </w:r>
            <w:r>
              <w:rPr>
                <w:rFonts w:ascii="Times New Roman" w:hAnsi="Times New Roman" w:cs="Times New Roman"/>
                <w:bCs/>
                <w:lang w:val="en-GB" w:eastAsia="en-US"/>
              </w:rPr>
              <w:t xml:space="preserve">ny is it sufficient to meet the </w:t>
            </w:r>
            <w:r w:rsidRPr="007B1BD9">
              <w:rPr>
                <w:rFonts w:ascii="Times New Roman" w:hAnsi="Times New Roman" w:cs="Times New Roman"/>
                <w:bCs/>
                <w:lang w:val="en-GB" w:eastAsia="en-US"/>
              </w:rPr>
              <w:t>criteria. Or as a JV can we meet the criteria together?</w:t>
            </w:r>
          </w:p>
        </w:tc>
        <w:tc>
          <w:tcPr>
            <w:tcW w:w="4410" w:type="dxa"/>
          </w:tcPr>
          <w:p w:rsidR="005D64A5" w:rsidRDefault="005D64A5" w:rsidP="00352540">
            <w:pPr>
              <w:jc w:val="both"/>
              <w:rPr>
                <w:rFonts w:ascii="Times New Roman" w:hAnsi="Times New Roman" w:cs="Times New Roman"/>
                <w:b/>
                <w:lang w:val="en-US"/>
              </w:rPr>
            </w:pPr>
            <w:r w:rsidRPr="00352540">
              <w:rPr>
                <w:rFonts w:ascii="Times New Roman" w:eastAsia="Calibri" w:hAnsi="Times New Roman" w:cs="Times New Roman"/>
                <w:lang w:val="en-US"/>
              </w:rPr>
              <w:t>Please refer to ITT section 12.2.</w:t>
            </w:r>
            <w:r w:rsidRPr="00352540">
              <w:rPr>
                <w:rFonts w:ascii="Times New Roman" w:eastAsia="Calibri" w:hAnsi="Times New Roman" w:cs="Times New Roman"/>
                <w:b/>
                <w:lang w:val="en-US"/>
              </w:rPr>
              <w:t xml:space="preserve"> </w:t>
            </w:r>
            <w:r w:rsidRPr="00352540">
              <w:rPr>
                <w:rFonts w:ascii="Times New Roman" w:eastAsia="Calibri" w:hAnsi="Times New Roman" w:cs="Times New Roman"/>
                <w:lang w:val="en-US"/>
              </w:rPr>
              <w:t>“</w:t>
            </w:r>
            <w:r w:rsidRPr="00CD4CA1">
              <w:rPr>
                <w:rFonts w:ascii="Times New Roman" w:eastAsia="Calibri" w:hAnsi="Times New Roman" w:cs="Times New Roman"/>
                <w:i/>
                <w:lang w:val="en-US"/>
              </w:rPr>
              <w:t>If a tender is submitted by a consortium, unless specified, the selection criteria will be applied to the consortium as a whole</w:t>
            </w:r>
            <w:r w:rsidRPr="00352540">
              <w:rPr>
                <w:rFonts w:ascii="Times New Roman" w:eastAsia="Calibri" w:hAnsi="Times New Roman" w:cs="Times New Roman"/>
                <w:lang w:val="en-US"/>
              </w:rPr>
              <w:t>.”</w:t>
            </w:r>
          </w:p>
        </w:tc>
      </w:tr>
      <w:tr w:rsidR="005D64A5" w:rsidRPr="00EF6833" w:rsidTr="005D64A5">
        <w:tc>
          <w:tcPr>
            <w:tcW w:w="715"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22.</w:t>
            </w:r>
          </w:p>
        </w:tc>
        <w:tc>
          <w:tcPr>
            <w:tcW w:w="4140" w:type="dxa"/>
          </w:tcPr>
          <w:p w:rsidR="005D64A5" w:rsidRDefault="005D64A5" w:rsidP="006D4244">
            <w:pPr>
              <w:jc w:val="both"/>
              <w:rPr>
                <w:rFonts w:ascii="Times New Roman" w:hAnsi="Times New Roman" w:cs="Times New Roman"/>
                <w:b/>
                <w:bCs/>
                <w:lang w:val="en-GB" w:eastAsia="en-US"/>
              </w:rPr>
            </w:pPr>
            <w:r>
              <w:rPr>
                <w:rFonts w:ascii="Times New Roman" w:hAnsi="Times New Roman" w:cs="Times New Roman"/>
                <w:b/>
                <w:bCs/>
                <w:lang w:val="en-GB" w:eastAsia="en-US"/>
              </w:rPr>
              <w:t xml:space="preserve"> Financial statements</w:t>
            </w:r>
          </w:p>
          <w:p w:rsidR="005D64A5" w:rsidRDefault="005D64A5" w:rsidP="006D4244">
            <w:pPr>
              <w:jc w:val="both"/>
              <w:rPr>
                <w:rFonts w:ascii="Times New Roman" w:hAnsi="Times New Roman" w:cs="Times New Roman"/>
                <w:b/>
                <w:bCs/>
                <w:lang w:val="en-GB" w:eastAsia="en-US"/>
              </w:rPr>
            </w:pPr>
          </w:p>
          <w:p w:rsidR="005D64A5" w:rsidRPr="007B6D40" w:rsidRDefault="005D64A5" w:rsidP="007B6D40">
            <w:pPr>
              <w:rPr>
                <w:rFonts w:ascii="Times New Roman" w:hAnsi="Times New Roman" w:cs="Times New Roman"/>
                <w:b/>
                <w:bCs/>
                <w:lang w:val="en-GB" w:eastAsia="en-US"/>
              </w:rPr>
            </w:pPr>
            <w:r w:rsidRPr="005D64A5">
              <w:rPr>
                <w:rFonts w:ascii="Times New Roman" w:eastAsia="Calibri" w:hAnsi="Times New Roman" w:cs="Times New Roman"/>
                <w:b/>
              </w:rPr>
              <w:t>Question:</w:t>
            </w:r>
            <w:r w:rsidRPr="005D64A5">
              <w:rPr>
                <w:rFonts w:ascii="Times New Roman" w:eastAsia="Calibri" w:hAnsi="Times New Roman" w:cs="Times New Roman"/>
              </w:rPr>
              <w:t xml:space="preserve"> </w:t>
            </w:r>
            <w:r w:rsidRPr="007B6D40">
              <w:rPr>
                <w:rFonts w:ascii="Times New Roman" w:eastAsia="Calibri" w:hAnsi="Times New Roman" w:cs="Times New Roman"/>
              </w:rPr>
              <w:t>Please confirm that Financial statements with rel</w:t>
            </w:r>
            <w:r>
              <w:rPr>
                <w:rFonts w:ascii="Times New Roman" w:eastAsia="Calibri" w:hAnsi="Times New Roman" w:cs="Times New Roman"/>
              </w:rPr>
              <w:t xml:space="preserve">ated reports of the </w:t>
            </w:r>
            <w:r w:rsidRPr="007B6D40">
              <w:rPr>
                <w:rFonts w:ascii="Times New Roman" w:eastAsia="Calibri" w:hAnsi="Times New Roman" w:cs="Times New Roman"/>
              </w:rPr>
              <w:t>independent auditor can be submit</w:t>
            </w:r>
            <w:r>
              <w:rPr>
                <w:rFonts w:ascii="Times New Roman" w:eastAsia="Calibri" w:hAnsi="Times New Roman" w:cs="Times New Roman"/>
              </w:rPr>
              <w:t xml:space="preserve">ted in the tender as supporting </w:t>
            </w:r>
            <w:r w:rsidRPr="007B6D40">
              <w:rPr>
                <w:rFonts w:ascii="Times New Roman" w:eastAsia="Calibri" w:hAnsi="Times New Roman" w:cs="Times New Roman"/>
              </w:rPr>
              <w:t xml:space="preserve">documents in Serbian language for </w:t>
            </w:r>
            <w:r>
              <w:rPr>
                <w:rFonts w:ascii="Times New Roman" w:eastAsia="Calibri" w:hAnsi="Times New Roman" w:cs="Times New Roman"/>
              </w:rPr>
              <w:t xml:space="preserve">the tenderers registered in the </w:t>
            </w:r>
            <w:r w:rsidRPr="007B6D40">
              <w:rPr>
                <w:rFonts w:ascii="Times New Roman" w:eastAsia="Calibri" w:hAnsi="Times New Roman" w:cs="Times New Roman"/>
              </w:rPr>
              <w:t>Republic of Serbia.</w:t>
            </w:r>
          </w:p>
        </w:tc>
        <w:tc>
          <w:tcPr>
            <w:tcW w:w="4410" w:type="dxa"/>
          </w:tcPr>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 xml:space="preserve">Please refer to ITT section 10.1 “The tender and all correspondence and documents related to the tender exchanged by the tenderer and the contracting authority must be written in the language of the procedure, which is English” and ITT </w:t>
            </w:r>
            <w:proofErr w:type="gramStart"/>
            <w:r w:rsidRPr="001E3A7B">
              <w:rPr>
                <w:rFonts w:ascii="Times New Roman" w:hAnsi="Times New Roman" w:cs="Times New Roman"/>
                <w:lang w:val="en-US"/>
              </w:rPr>
              <w:t>section  10.2</w:t>
            </w:r>
            <w:proofErr w:type="gramEnd"/>
            <w:r w:rsidRPr="001E3A7B">
              <w:rPr>
                <w:rFonts w:ascii="Times New Roman" w:hAnsi="Times New Roman" w:cs="Times New Roman"/>
                <w:lang w:val="en-US"/>
              </w:rPr>
              <w:t>.  10.2.</w:t>
            </w:r>
          </w:p>
          <w:p w:rsidR="001E3A7B" w:rsidRPr="001E3A7B" w:rsidRDefault="001E3A7B" w:rsidP="001E3A7B">
            <w:pPr>
              <w:jc w:val="both"/>
              <w:rPr>
                <w:rFonts w:ascii="Times New Roman" w:hAnsi="Times New Roman" w:cs="Times New Roman"/>
                <w:lang w:val="en-US"/>
              </w:rPr>
            </w:pPr>
          </w:p>
          <w:p w:rsidR="005D64A5" w:rsidRDefault="001E3A7B" w:rsidP="001E3A7B">
            <w:pPr>
              <w:jc w:val="both"/>
              <w:rPr>
                <w:rFonts w:ascii="Times New Roman" w:hAnsi="Times New Roman" w:cs="Times New Roman"/>
                <w:b/>
                <w:lang w:val="en-US"/>
              </w:rPr>
            </w:pPr>
            <w:r w:rsidRPr="001E3A7B">
              <w:rPr>
                <w:rFonts w:ascii="Times New Roman" w:hAnsi="Times New Roman" w:cs="Times New Roman"/>
                <w:lang w:val="en-US"/>
              </w:rPr>
              <w:t>If supporting documents are not written in one of the official languages of the European Union, a translation into the language of the call for tender must be attached.</w:t>
            </w:r>
          </w:p>
        </w:tc>
      </w:tr>
      <w:tr w:rsidR="005D64A5" w:rsidRPr="00EF6833" w:rsidTr="005D64A5">
        <w:tc>
          <w:tcPr>
            <w:tcW w:w="715" w:type="dxa"/>
          </w:tcPr>
          <w:p w:rsidR="005D64A5" w:rsidRPr="00352540" w:rsidRDefault="005D64A5" w:rsidP="007B6D40">
            <w:pPr>
              <w:pStyle w:val="NormalWeb"/>
              <w:rPr>
                <w:b/>
                <w:bCs/>
                <w:sz w:val="22"/>
                <w:szCs w:val="22"/>
                <w:lang w:val="en-GB"/>
              </w:rPr>
            </w:pPr>
            <w:r>
              <w:rPr>
                <w:b/>
                <w:bCs/>
                <w:sz w:val="22"/>
                <w:szCs w:val="22"/>
                <w:lang w:val="en-GB"/>
              </w:rPr>
              <w:t>23.</w:t>
            </w:r>
          </w:p>
        </w:tc>
        <w:tc>
          <w:tcPr>
            <w:tcW w:w="4140" w:type="dxa"/>
          </w:tcPr>
          <w:p w:rsidR="005D64A5" w:rsidRPr="00352540" w:rsidRDefault="005D64A5" w:rsidP="007B6D40">
            <w:pPr>
              <w:pStyle w:val="NormalWeb"/>
              <w:rPr>
                <w:sz w:val="22"/>
                <w:szCs w:val="22"/>
              </w:rPr>
            </w:pPr>
            <w:r w:rsidRPr="00352540">
              <w:rPr>
                <w:b/>
                <w:bCs/>
                <w:sz w:val="22"/>
                <w:szCs w:val="22"/>
                <w:lang w:val="en-GB"/>
              </w:rPr>
              <w:t xml:space="preserve"> </w:t>
            </w:r>
            <w:r w:rsidRPr="00352540">
              <w:rPr>
                <w:b/>
                <w:sz w:val="22"/>
                <w:szCs w:val="22"/>
              </w:rPr>
              <w:t>Ref: Volume 3.2 Particular technical requirements, Chapter 4.10.3</w:t>
            </w:r>
          </w:p>
          <w:p w:rsidR="005D64A5" w:rsidRPr="007B6D40" w:rsidRDefault="005D64A5" w:rsidP="007B6D40">
            <w:pPr>
              <w:pStyle w:val="NormalWeb"/>
              <w:rPr>
                <w:rFonts w:ascii="Verdana" w:hAnsi="Verdana"/>
                <w:sz w:val="18"/>
                <w:szCs w:val="18"/>
              </w:rPr>
            </w:pPr>
            <w:r w:rsidRPr="007B6D40">
              <w:rPr>
                <w:sz w:val="22"/>
                <w:szCs w:val="22"/>
              </w:rPr>
              <w:br/>
            </w:r>
            <w:r w:rsidRPr="005D64A5">
              <w:rPr>
                <w:b/>
                <w:sz w:val="22"/>
                <w:szCs w:val="22"/>
              </w:rPr>
              <w:t>Question:</w:t>
            </w:r>
            <w:r w:rsidRPr="005D64A5">
              <w:rPr>
                <w:sz w:val="22"/>
                <w:szCs w:val="22"/>
              </w:rPr>
              <w:t xml:space="preserve"> </w:t>
            </w:r>
            <w:proofErr w:type="gramStart"/>
            <w:r w:rsidRPr="007B6D40">
              <w:rPr>
                <w:sz w:val="22"/>
                <w:szCs w:val="22"/>
              </w:rPr>
              <w:t>Coarse</w:t>
            </w:r>
            <w:proofErr w:type="gramEnd"/>
            <w:r w:rsidRPr="007B6D40">
              <w:rPr>
                <w:sz w:val="22"/>
                <w:szCs w:val="22"/>
              </w:rPr>
              <w:t xml:space="preserve"> screen. </w:t>
            </w:r>
            <w:proofErr w:type="spellStart"/>
            <w:r w:rsidRPr="007B6D40">
              <w:rPr>
                <w:sz w:val="22"/>
                <w:szCs w:val="22"/>
              </w:rPr>
              <w:t>Acc</w:t>
            </w:r>
            <w:proofErr w:type="spellEnd"/>
            <w:r w:rsidRPr="007B6D40">
              <w:rPr>
                <w:sz w:val="22"/>
                <w:szCs w:val="22"/>
              </w:rPr>
              <w:t xml:space="preserve"> to Tender requ</w:t>
            </w:r>
            <w:r>
              <w:rPr>
                <w:sz w:val="22"/>
                <w:szCs w:val="22"/>
              </w:rPr>
              <w:t xml:space="preserve">irement coarse screens shall be </w:t>
            </w:r>
            <w:r w:rsidRPr="007B6D40">
              <w:rPr>
                <w:sz w:val="22"/>
                <w:szCs w:val="22"/>
              </w:rPr>
              <w:t>designed for peak wet weather fl</w:t>
            </w:r>
            <w:r>
              <w:rPr>
                <w:sz w:val="22"/>
                <w:szCs w:val="22"/>
              </w:rPr>
              <w:t xml:space="preserve">ow and ultimate plant capacity. </w:t>
            </w:r>
            <w:r w:rsidRPr="007B6D40">
              <w:rPr>
                <w:sz w:val="22"/>
                <w:szCs w:val="22"/>
              </w:rPr>
              <w:t>Operational regime shall be 1+1 and one manual screen shall be installed</w:t>
            </w:r>
            <w:r w:rsidRPr="007B6D40">
              <w:rPr>
                <w:sz w:val="22"/>
                <w:szCs w:val="22"/>
              </w:rPr>
              <w:br/>
              <w:t>for an emergency spare. In this way we h</w:t>
            </w:r>
            <w:r>
              <w:rPr>
                <w:sz w:val="22"/>
                <w:szCs w:val="22"/>
              </w:rPr>
              <w:t xml:space="preserve">ave only one operational screen </w:t>
            </w:r>
            <w:r w:rsidRPr="007B6D40">
              <w:rPr>
                <w:sz w:val="22"/>
                <w:szCs w:val="22"/>
              </w:rPr>
              <w:t>designed for peak wet weather flow and two spar</w:t>
            </w:r>
            <w:r>
              <w:rPr>
                <w:sz w:val="22"/>
                <w:szCs w:val="22"/>
              </w:rPr>
              <w:t xml:space="preserve">e screens. Since the </w:t>
            </w:r>
            <w:r w:rsidRPr="007B6D40">
              <w:rPr>
                <w:sz w:val="22"/>
                <w:szCs w:val="22"/>
              </w:rPr>
              <w:t>peak wet weather flow is almost three times dry weather flow operation</w:t>
            </w:r>
            <w:r w:rsidRPr="007B6D40">
              <w:rPr>
                <w:sz w:val="22"/>
                <w:szCs w:val="22"/>
              </w:rPr>
              <w:br/>
              <w:t xml:space="preserve">of </w:t>
            </w:r>
            <w:proofErr w:type="gramStart"/>
            <w:r w:rsidRPr="007B6D40">
              <w:rPr>
                <w:sz w:val="22"/>
                <w:szCs w:val="22"/>
              </w:rPr>
              <w:t>the this</w:t>
            </w:r>
            <w:proofErr w:type="gramEnd"/>
            <w:r w:rsidRPr="007B6D40">
              <w:rPr>
                <w:sz w:val="22"/>
                <w:szCs w:val="22"/>
              </w:rPr>
              <w:t xml:space="preserve"> one duty screen will not be </w:t>
            </w:r>
            <w:r>
              <w:rPr>
                <w:sz w:val="22"/>
                <w:szCs w:val="22"/>
              </w:rPr>
              <w:t xml:space="preserve">optimal during the average flow </w:t>
            </w:r>
            <w:r w:rsidRPr="007B6D40">
              <w:rPr>
                <w:sz w:val="22"/>
                <w:szCs w:val="22"/>
              </w:rPr>
              <w:t>conditions. Please advise if we can desig</w:t>
            </w:r>
            <w:r>
              <w:rPr>
                <w:sz w:val="22"/>
                <w:szCs w:val="22"/>
              </w:rPr>
              <w:t xml:space="preserve">n automatic screens for max dry </w:t>
            </w:r>
            <w:r w:rsidRPr="007B6D40">
              <w:rPr>
                <w:sz w:val="22"/>
                <w:szCs w:val="22"/>
              </w:rPr>
              <w:t>weather flow. During the dry weather one</w:t>
            </w:r>
            <w:r>
              <w:rPr>
                <w:sz w:val="22"/>
                <w:szCs w:val="22"/>
              </w:rPr>
              <w:t xml:space="preserve"> screen will be duty and during </w:t>
            </w:r>
            <w:r w:rsidRPr="007B6D40">
              <w:rPr>
                <w:sz w:val="22"/>
                <w:szCs w:val="22"/>
              </w:rPr>
              <w:t>the wet weather flow both screens will</w:t>
            </w:r>
            <w:r>
              <w:rPr>
                <w:sz w:val="22"/>
                <w:szCs w:val="22"/>
              </w:rPr>
              <w:t xml:space="preserve"> be in operation. Manual screen </w:t>
            </w:r>
            <w:r w:rsidRPr="007B6D40">
              <w:rPr>
                <w:sz w:val="22"/>
                <w:szCs w:val="22"/>
              </w:rPr>
              <w:lastRenderedPageBreak/>
              <w:t>designed for the peak flow will remain as emergency bypass screen.</w:t>
            </w:r>
          </w:p>
        </w:tc>
        <w:tc>
          <w:tcPr>
            <w:tcW w:w="4410" w:type="dxa"/>
          </w:tcPr>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lastRenderedPageBreak/>
              <w:t>Coarse screens shall be designed in accordance with the Volume 3.2 Particular technical requirements, Chapter 4.10.3. In case of failure of one automatic unit the other shall be able to handle 100% of the maximum flow.</w:t>
            </w:r>
          </w:p>
          <w:p w:rsidR="006D190C" w:rsidRPr="006D190C" w:rsidRDefault="006D190C" w:rsidP="006D190C">
            <w:pPr>
              <w:jc w:val="both"/>
              <w:rPr>
                <w:rFonts w:ascii="Times New Roman" w:hAnsi="Times New Roman" w:cs="Times New Roman"/>
                <w:lang w:val="en-US"/>
              </w:rPr>
            </w:pPr>
            <w:r w:rsidRPr="006D190C">
              <w:rPr>
                <w:rFonts w:ascii="Times New Roman" w:hAnsi="Times New Roman" w:cs="Times New Roman"/>
                <w:lang w:val="en-US"/>
              </w:rPr>
              <w:t>Excess flow (over the peak wet weather flow) that might occur in combined systems during storms should not be directed to the downstream process units. It shall be diverted to a by-pass and shall be handled by manual screen.</w:t>
            </w:r>
          </w:p>
          <w:p w:rsidR="006D190C" w:rsidRPr="006D190C" w:rsidRDefault="006D190C" w:rsidP="006D190C">
            <w:pPr>
              <w:jc w:val="both"/>
              <w:rPr>
                <w:rFonts w:ascii="Times New Roman" w:hAnsi="Times New Roman" w:cs="Times New Roman"/>
                <w:lang w:val="en-US"/>
              </w:rPr>
            </w:pPr>
          </w:p>
          <w:p w:rsidR="005D64A5" w:rsidRDefault="006D190C" w:rsidP="006D190C">
            <w:pPr>
              <w:jc w:val="both"/>
              <w:rPr>
                <w:rFonts w:ascii="Times New Roman" w:hAnsi="Times New Roman" w:cs="Times New Roman"/>
                <w:b/>
                <w:lang w:val="en-US"/>
              </w:rPr>
            </w:pPr>
            <w:r w:rsidRPr="006D190C">
              <w:rPr>
                <w:rFonts w:ascii="Times New Roman" w:hAnsi="Times New Roman" w:cs="Times New Roman"/>
                <w:lang w:val="en-US"/>
              </w:rPr>
              <w:t>Manual screen shall be designed for the ultimate (Phase II) maximum wet weather flow.</w:t>
            </w:r>
          </w:p>
        </w:tc>
      </w:tr>
      <w:tr w:rsidR="005D64A5" w:rsidRPr="00EF6833" w:rsidTr="005D64A5">
        <w:tc>
          <w:tcPr>
            <w:tcW w:w="715" w:type="dxa"/>
          </w:tcPr>
          <w:p w:rsidR="005D64A5" w:rsidRDefault="005D64A5" w:rsidP="007B6D40">
            <w:pPr>
              <w:jc w:val="both"/>
              <w:rPr>
                <w:rFonts w:ascii="Times New Roman" w:hAnsi="Times New Roman" w:cs="Times New Roman"/>
                <w:b/>
                <w:bCs/>
                <w:lang w:val="en-GB" w:eastAsia="en-US"/>
              </w:rPr>
            </w:pPr>
            <w:r>
              <w:rPr>
                <w:rFonts w:ascii="Times New Roman" w:hAnsi="Times New Roman" w:cs="Times New Roman"/>
                <w:b/>
                <w:bCs/>
                <w:lang w:val="en-GB" w:eastAsia="en-US"/>
              </w:rPr>
              <w:t>24.</w:t>
            </w:r>
          </w:p>
        </w:tc>
        <w:tc>
          <w:tcPr>
            <w:tcW w:w="4140" w:type="dxa"/>
          </w:tcPr>
          <w:p w:rsidR="005D64A5" w:rsidRDefault="005D64A5" w:rsidP="007B6D40">
            <w:pPr>
              <w:jc w:val="both"/>
              <w:rPr>
                <w:rFonts w:ascii="Times New Roman" w:hAnsi="Times New Roman" w:cs="Times New Roman"/>
                <w:b/>
                <w:bCs/>
                <w:lang w:val="en-GB" w:eastAsia="en-US"/>
              </w:rPr>
            </w:pPr>
            <w:r w:rsidRPr="007B6D40">
              <w:rPr>
                <w:rFonts w:ascii="Times New Roman" w:hAnsi="Times New Roman" w:cs="Times New Roman"/>
                <w:b/>
                <w:bCs/>
                <w:lang w:val="en-GB" w:eastAsia="en-US"/>
              </w:rPr>
              <w:t>Ref: Volume 3.2 Particular technical conditions, Chapter 4.10.4.</w:t>
            </w:r>
          </w:p>
          <w:p w:rsidR="005D64A5" w:rsidRPr="007B6D40" w:rsidRDefault="005D64A5" w:rsidP="007B6D40">
            <w:pPr>
              <w:jc w:val="both"/>
              <w:rPr>
                <w:rFonts w:ascii="Times New Roman" w:hAnsi="Times New Roman" w:cs="Times New Roman"/>
                <w:b/>
                <w:bCs/>
                <w:lang w:val="en-GB" w:eastAsia="en-US"/>
              </w:rPr>
            </w:pPr>
          </w:p>
          <w:p w:rsidR="005D64A5" w:rsidRPr="007B6D40" w:rsidRDefault="005D64A5" w:rsidP="007B6D40">
            <w:pPr>
              <w:jc w:val="both"/>
              <w:rPr>
                <w:rFonts w:ascii="Times New Roman" w:hAnsi="Times New Roman" w:cs="Times New Roman"/>
                <w:bCs/>
                <w:lang w:val="en-GB" w:eastAsia="en-US"/>
              </w:rPr>
            </w:pPr>
            <w:r w:rsidRPr="005D64A5">
              <w:rPr>
                <w:rFonts w:ascii="Times New Roman" w:hAnsi="Times New Roman" w:cs="Times New Roman"/>
                <w:b/>
                <w:bCs/>
                <w:lang w:val="en-GB" w:eastAsia="en-US"/>
              </w:rPr>
              <w:t>Question:</w:t>
            </w:r>
            <w:r w:rsidRPr="005D64A5">
              <w:rPr>
                <w:rFonts w:ascii="Times New Roman" w:hAnsi="Times New Roman" w:cs="Times New Roman"/>
                <w:bCs/>
                <w:lang w:val="en-GB" w:eastAsia="en-US"/>
              </w:rPr>
              <w:t xml:space="preserve"> </w:t>
            </w:r>
            <w:r w:rsidRPr="007B6D40">
              <w:rPr>
                <w:rFonts w:ascii="Times New Roman" w:hAnsi="Times New Roman" w:cs="Times New Roman"/>
                <w:bCs/>
                <w:lang w:val="en-GB" w:eastAsia="en-US"/>
              </w:rPr>
              <w:t xml:space="preserve">Please advise if it is acceptable for </w:t>
            </w:r>
            <w:r>
              <w:rPr>
                <w:rFonts w:ascii="Times New Roman" w:hAnsi="Times New Roman" w:cs="Times New Roman"/>
                <w:bCs/>
                <w:lang w:val="en-GB" w:eastAsia="en-US"/>
              </w:rPr>
              <w:t xml:space="preserve">septic sludge receiving station </w:t>
            </w:r>
            <w:r w:rsidRPr="007B6D40">
              <w:rPr>
                <w:rFonts w:ascii="Times New Roman" w:hAnsi="Times New Roman" w:cs="Times New Roman"/>
                <w:bCs/>
                <w:lang w:val="en-GB" w:eastAsia="en-US"/>
              </w:rPr>
              <w:t>to be installed in inlet building.</w:t>
            </w:r>
          </w:p>
        </w:tc>
        <w:tc>
          <w:tcPr>
            <w:tcW w:w="4410" w:type="dxa"/>
          </w:tcPr>
          <w:p w:rsidR="005D64A5"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Tenderers may propose any solution provided sufficient space for access to delivery trucks with connection for discharge of septic sludge and flushing facilities, with particular attention to odor control within the enclosed area.</w:t>
            </w:r>
          </w:p>
        </w:tc>
      </w:tr>
      <w:tr w:rsidR="005D64A5" w:rsidRPr="00EF6833" w:rsidTr="005D64A5">
        <w:tc>
          <w:tcPr>
            <w:tcW w:w="715" w:type="dxa"/>
          </w:tcPr>
          <w:p w:rsidR="005D64A5" w:rsidRDefault="005D64A5" w:rsidP="007B6D40">
            <w:pPr>
              <w:jc w:val="both"/>
              <w:rPr>
                <w:rFonts w:ascii="Times New Roman" w:hAnsi="Times New Roman" w:cs="Times New Roman"/>
                <w:b/>
                <w:bCs/>
                <w:lang w:val="en-GB" w:eastAsia="en-US"/>
              </w:rPr>
            </w:pPr>
            <w:r>
              <w:rPr>
                <w:rFonts w:ascii="Times New Roman" w:hAnsi="Times New Roman" w:cs="Times New Roman"/>
                <w:b/>
                <w:bCs/>
                <w:lang w:val="en-GB" w:eastAsia="en-US"/>
              </w:rPr>
              <w:t>25.</w:t>
            </w:r>
          </w:p>
        </w:tc>
        <w:tc>
          <w:tcPr>
            <w:tcW w:w="4140" w:type="dxa"/>
          </w:tcPr>
          <w:p w:rsidR="005D64A5" w:rsidRDefault="005D64A5" w:rsidP="007B6D40">
            <w:pPr>
              <w:jc w:val="both"/>
              <w:rPr>
                <w:rFonts w:ascii="Times New Roman" w:hAnsi="Times New Roman" w:cs="Times New Roman"/>
                <w:b/>
                <w:bCs/>
                <w:lang w:val="en-GB" w:eastAsia="en-US"/>
              </w:rPr>
            </w:pPr>
            <w:r>
              <w:rPr>
                <w:rFonts w:ascii="Times New Roman" w:hAnsi="Times New Roman" w:cs="Times New Roman"/>
                <w:b/>
                <w:bCs/>
                <w:lang w:val="en-GB" w:eastAsia="en-US"/>
              </w:rPr>
              <w:t xml:space="preserve"> </w:t>
            </w:r>
            <w:r w:rsidRPr="007B6D40">
              <w:rPr>
                <w:rFonts w:ascii="Times New Roman" w:hAnsi="Times New Roman" w:cs="Times New Roman"/>
                <w:b/>
                <w:bCs/>
                <w:lang w:val="en-GB" w:eastAsia="en-US"/>
              </w:rPr>
              <w:t xml:space="preserve">Ref: Volume 3.2 Particular technical requirements, Chapter 4.13.3 </w:t>
            </w:r>
          </w:p>
          <w:p w:rsidR="005D64A5" w:rsidRPr="0013786E" w:rsidRDefault="005D64A5" w:rsidP="007B6D40">
            <w:pPr>
              <w:jc w:val="both"/>
              <w:rPr>
                <w:rFonts w:ascii="Times New Roman" w:hAnsi="Times New Roman" w:cs="Times New Roman"/>
                <w:bCs/>
                <w:lang w:val="en-GB" w:eastAsia="en-US"/>
              </w:rPr>
            </w:pPr>
            <w:r w:rsidRPr="005D64A5">
              <w:rPr>
                <w:rFonts w:ascii="Times New Roman" w:hAnsi="Times New Roman" w:cs="Times New Roman"/>
                <w:b/>
                <w:bCs/>
                <w:lang w:val="en-GB" w:eastAsia="en-US"/>
              </w:rPr>
              <w:t>Question:</w:t>
            </w:r>
            <w:r w:rsidRPr="005D64A5">
              <w:rPr>
                <w:rFonts w:ascii="Times New Roman" w:hAnsi="Times New Roman" w:cs="Times New Roman"/>
                <w:bCs/>
                <w:lang w:val="en-GB" w:eastAsia="en-US"/>
              </w:rPr>
              <w:t xml:space="preserve"> </w:t>
            </w:r>
            <w:r w:rsidRPr="0013786E">
              <w:rPr>
                <w:rFonts w:ascii="Times New Roman" w:hAnsi="Times New Roman" w:cs="Times New Roman"/>
                <w:bCs/>
                <w:lang w:val="en-GB" w:eastAsia="en-US"/>
              </w:rPr>
              <w:t>Gas desulphurization In Chapter 4.13.3 Gas desulphurization both biological trickling filter for biogas desulphurization and desulphurization by addition of Ferric chloride solution are mentioned.</w:t>
            </w:r>
          </w:p>
          <w:p w:rsidR="005D64A5" w:rsidRDefault="005D64A5" w:rsidP="007B6D40">
            <w:pPr>
              <w:jc w:val="both"/>
              <w:rPr>
                <w:rFonts w:ascii="Times New Roman" w:hAnsi="Times New Roman" w:cs="Times New Roman"/>
                <w:b/>
                <w:bCs/>
                <w:lang w:val="en-GB" w:eastAsia="en-US"/>
              </w:rPr>
            </w:pPr>
            <w:r w:rsidRPr="0013786E">
              <w:rPr>
                <w:rFonts w:ascii="Times New Roman" w:hAnsi="Times New Roman" w:cs="Times New Roman"/>
                <w:bCs/>
                <w:lang w:val="en-GB" w:eastAsia="en-US"/>
              </w:rPr>
              <w:t>Please clarify required desulphurization method.</w:t>
            </w:r>
          </w:p>
        </w:tc>
        <w:tc>
          <w:tcPr>
            <w:tcW w:w="4410" w:type="dxa"/>
          </w:tcPr>
          <w:p w:rsidR="005D64A5"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Biogas desulphurization shall be completed by biological trickling filter</w:t>
            </w:r>
            <w:r>
              <w:rPr>
                <w:rFonts w:ascii="Times New Roman" w:hAnsi="Times New Roman" w:cs="Times New Roman"/>
                <w:lang w:val="en-US"/>
              </w:rPr>
              <w:t>.</w:t>
            </w:r>
          </w:p>
        </w:tc>
      </w:tr>
      <w:tr w:rsidR="005D64A5" w:rsidRPr="00EF6833" w:rsidTr="005D64A5">
        <w:tc>
          <w:tcPr>
            <w:tcW w:w="715" w:type="dxa"/>
          </w:tcPr>
          <w:p w:rsidR="005D64A5" w:rsidRDefault="005D64A5" w:rsidP="0013786E">
            <w:pPr>
              <w:jc w:val="both"/>
              <w:rPr>
                <w:rFonts w:ascii="Times New Roman" w:hAnsi="Times New Roman" w:cs="Times New Roman"/>
                <w:b/>
                <w:bCs/>
                <w:lang w:val="en-GB" w:eastAsia="en-US"/>
              </w:rPr>
            </w:pPr>
            <w:r>
              <w:rPr>
                <w:rFonts w:ascii="Times New Roman" w:hAnsi="Times New Roman" w:cs="Times New Roman"/>
                <w:b/>
                <w:bCs/>
                <w:lang w:val="en-GB" w:eastAsia="en-US"/>
              </w:rPr>
              <w:t>26.</w:t>
            </w:r>
          </w:p>
        </w:tc>
        <w:tc>
          <w:tcPr>
            <w:tcW w:w="4140" w:type="dxa"/>
          </w:tcPr>
          <w:p w:rsidR="005D64A5" w:rsidRDefault="005D64A5" w:rsidP="0013786E">
            <w:pPr>
              <w:jc w:val="both"/>
              <w:rPr>
                <w:rFonts w:ascii="Times New Roman" w:hAnsi="Times New Roman" w:cs="Times New Roman"/>
                <w:b/>
                <w:bCs/>
                <w:lang w:val="en-GB" w:eastAsia="en-US"/>
              </w:rPr>
            </w:pPr>
          </w:p>
          <w:p w:rsidR="005D64A5" w:rsidRPr="0013786E" w:rsidRDefault="005D64A5" w:rsidP="0013786E">
            <w:pPr>
              <w:jc w:val="both"/>
              <w:rPr>
                <w:rFonts w:ascii="Times New Roman" w:hAnsi="Times New Roman" w:cs="Times New Roman"/>
                <w:bCs/>
                <w:lang w:val="en-GB" w:eastAsia="en-US"/>
              </w:rPr>
            </w:pPr>
            <w:r w:rsidRPr="005D64A5">
              <w:rPr>
                <w:rFonts w:ascii="Times New Roman" w:hAnsi="Times New Roman" w:cs="Times New Roman"/>
                <w:b/>
                <w:bCs/>
                <w:lang w:val="en-GB" w:eastAsia="en-US"/>
              </w:rPr>
              <w:t>Question:</w:t>
            </w:r>
            <w:r w:rsidRPr="005D64A5">
              <w:rPr>
                <w:rFonts w:ascii="Times New Roman" w:hAnsi="Times New Roman" w:cs="Times New Roman"/>
                <w:bCs/>
                <w:lang w:val="en-GB" w:eastAsia="en-US"/>
              </w:rPr>
              <w:t xml:space="preserve"> </w:t>
            </w:r>
            <w:r w:rsidRPr="0013786E">
              <w:rPr>
                <w:rFonts w:ascii="Times New Roman" w:hAnsi="Times New Roman" w:cs="Times New Roman"/>
                <w:bCs/>
                <w:lang w:val="en-GB" w:eastAsia="en-US"/>
              </w:rPr>
              <w:t>Dear Sir/Madam, Please clarify th</w:t>
            </w:r>
            <w:r>
              <w:rPr>
                <w:rFonts w:ascii="Times New Roman" w:hAnsi="Times New Roman" w:cs="Times New Roman"/>
                <w:bCs/>
                <w:lang w:val="en-GB" w:eastAsia="en-US"/>
              </w:rPr>
              <w:t xml:space="preserve">e following </w:t>
            </w:r>
            <w:proofErr w:type="spellStart"/>
            <w:r>
              <w:rPr>
                <w:rFonts w:ascii="Times New Roman" w:hAnsi="Times New Roman" w:cs="Times New Roman"/>
                <w:bCs/>
                <w:lang w:val="en-GB" w:eastAsia="en-US"/>
              </w:rPr>
              <w:t>inquires</w:t>
            </w:r>
            <w:proofErr w:type="spellEnd"/>
            <w:r>
              <w:rPr>
                <w:rFonts w:ascii="Times New Roman" w:hAnsi="Times New Roman" w:cs="Times New Roman"/>
                <w:bCs/>
                <w:lang w:val="en-GB" w:eastAsia="en-US"/>
              </w:rPr>
              <w:t xml:space="preserve">: 1. Please </w:t>
            </w:r>
            <w:r w:rsidRPr="0013786E">
              <w:rPr>
                <w:rFonts w:ascii="Times New Roman" w:hAnsi="Times New Roman" w:cs="Times New Roman"/>
                <w:bCs/>
                <w:lang w:val="en-GB" w:eastAsia="en-US"/>
              </w:rPr>
              <w:t>clarify the meaning of the following</w:t>
            </w:r>
            <w:r>
              <w:rPr>
                <w:rFonts w:ascii="Times New Roman" w:hAnsi="Times New Roman" w:cs="Times New Roman"/>
                <w:bCs/>
                <w:lang w:val="en-GB" w:eastAsia="en-US"/>
              </w:rPr>
              <w:t xml:space="preserve">: „Contractor shall obtain… all </w:t>
            </w:r>
            <w:r w:rsidRPr="0013786E">
              <w:rPr>
                <w:rFonts w:ascii="Times New Roman" w:hAnsi="Times New Roman" w:cs="Times New Roman"/>
                <w:bCs/>
                <w:lang w:val="en-GB" w:eastAsia="en-US"/>
              </w:rPr>
              <w:t>permits, licenses, and approvals, as requ</w:t>
            </w:r>
            <w:r>
              <w:rPr>
                <w:rFonts w:ascii="Times New Roman" w:hAnsi="Times New Roman" w:cs="Times New Roman"/>
                <w:bCs/>
                <w:lang w:val="en-GB" w:eastAsia="en-US"/>
              </w:rPr>
              <w:t xml:space="preserve">ired by the Laws in relation to </w:t>
            </w:r>
            <w:r w:rsidRPr="0013786E">
              <w:rPr>
                <w:rFonts w:ascii="Times New Roman" w:hAnsi="Times New Roman" w:cs="Times New Roman"/>
                <w:bCs/>
                <w:lang w:val="en-GB" w:eastAsia="en-US"/>
              </w:rPr>
              <w:t>the design, execution and comple</w:t>
            </w:r>
            <w:r>
              <w:rPr>
                <w:rFonts w:ascii="Times New Roman" w:hAnsi="Times New Roman" w:cs="Times New Roman"/>
                <w:bCs/>
                <w:lang w:val="en-GB" w:eastAsia="en-US"/>
              </w:rPr>
              <w:t xml:space="preserve">tion of the Works.” (Particular </w:t>
            </w:r>
            <w:r w:rsidRPr="0013786E">
              <w:rPr>
                <w:rFonts w:ascii="Times New Roman" w:hAnsi="Times New Roman" w:cs="Times New Roman"/>
                <w:bCs/>
                <w:lang w:val="en-GB" w:eastAsia="en-US"/>
              </w:rPr>
              <w:t>Conditions of Contract, s/c 4.27 Licenses). Which s</w:t>
            </w:r>
            <w:r>
              <w:rPr>
                <w:rFonts w:ascii="Times New Roman" w:hAnsi="Times New Roman" w:cs="Times New Roman"/>
                <w:bCs/>
                <w:lang w:val="en-GB" w:eastAsia="en-US"/>
              </w:rPr>
              <w:t xml:space="preserve">pecific licenses need </w:t>
            </w:r>
            <w:r w:rsidRPr="0013786E">
              <w:rPr>
                <w:rFonts w:ascii="Times New Roman" w:hAnsi="Times New Roman" w:cs="Times New Roman"/>
                <w:bCs/>
                <w:lang w:val="en-GB" w:eastAsia="en-US"/>
              </w:rPr>
              <w:t>to be provided, and whether they can be provided through subcontractors?</w:t>
            </w:r>
          </w:p>
          <w:p w:rsidR="005D64A5" w:rsidRPr="0013786E" w:rsidRDefault="005D64A5" w:rsidP="0013786E">
            <w:pPr>
              <w:jc w:val="both"/>
              <w:rPr>
                <w:rFonts w:ascii="Times New Roman" w:hAnsi="Times New Roman" w:cs="Times New Roman"/>
                <w:bCs/>
                <w:lang w:val="en-GB" w:eastAsia="en-US"/>
              </w:rPr>
            </w:pPr>
            <w:r w:rsidRPr="0013786E">
              <w:rPr>
                <w:rFonts w:ascii="Times New Roman" w:hAnsi="Times New Roman" w:cs="Times New Roman"/>
                <w:bCs/>
                <w:lang w:val="en-GB" w:eastAsia="en-US"/>
              </w:rPr>
              <w:t>Should they be submitted in tender docume</w:t>
            </w:r>
            <w:r>
              <w:rPr>
                <w:rFonts w:ascii="Times New Roman" w:hAnsi="Times New Roman" w:cs="Times New Roman"/>
                <w:bCs/>
                <w:lang w:val="en-GB" w:eastAsia="en-US"/>
              </w:rPr>
              <w:t xml:space="preserve">nts, or shown after signing the </w:t>
            </w:r>
            <w:r w:rsidRPr="0013786E">
              <w:rPr>
                <w:rFonts w:ascii="Times New Roman" w:hAnsi="Times New Roman" w:cs="Times New Roman"/>
                <w:bCs/>
                <w:lang w:val="en-GB" w:eastAsia="en-US"/>
              </w:rPr>
              <w:t>Contract? 2. Please clarify if tendere</w:t>
            </w:r>
            <w:r>
              <w:rPr>
                <w:rFonts w:ascii="Times New Roman" w:hAnsi="Times New Roman" w:cs="Times New Roman"/>
                <w:bCs/>
                <w:lang w:val="en-GB" w:eastAsia="en-US"/>
              </w:rPr>
              <w:t xml:space="preserve">rs are obligated to prove their </w:t>
            </w:r>
            <w:r w:rsidRPr="0013786E">
              <w:rPr>
                <w:rFonts w:ascii="Times New Roman" w:hAnsi="Times New Roman" w:cs="Times New Roman"/>
                <w:bCs/>
                <w:lang w:val="en-GB" w:eastAsia="en-US"/>
              </w:rPr>
              <w:t>technical and professional capacity in r</w:t>
            </w:r>
            <w:r>
              <w:rPr>
                <w:rFonts w:ascii="Times New Roman" w:hAnsi="Times New Roman" w:cs="Times New Roman"/>
                <w:bCs/>
                <w:lang w:val="en-GB" w:eastAsia="en-US"/>
              </w:rPr>
              <w:t xml:space="preserve">elation to available experts to </w:t>
            </w:r>
            <w:r w:rsidRPr="0013786E">
              <w:rPr>
                <w:rFonts w:ascii="Times New Roman" w:hAnsi="Times New Roman" w:cs="Times New Roman"/>
                <w:bCs/>
                <w:lang w:val="en-GB" w:eastAsia="en-US"/>
              </w:rPr>
              <w:t>be engaged in the contract in the tender phase or after signing the</w:t>
            </w:r>
          </w:p>
          <w:p w:rsidR="005D64A5" w:rsidRPr="0013786E" w:rsidRDefault="005D64A5" w:rsidP="0013786E">
            <w:pPr>
              <w:jc w:val="both"/>
              <w:rPr>
                <w:rFonts w:ascii="Times New Roman" w:hAnsi="Times New Roman" w:cs="Times New Roman"/>
                <w:bCs/>
                <w:lang w:val="en-GB" w:eastAsia="en-US"/>
              </w:rPr>
            </w:pPr>
            <w:proofErr w:type="gramStart"/>
            <w:r w:rsidRPr="0013786E">
              <w:rPr>
                <w:rFonts w:ascii="Times New Roman" w:hAnsi="Times New Roman" w:cs="Times New Roman"/>
                <w:bCs/>
                <w:lang w:val="en-GB" w:eastAsia="en-US"/>
              </w:rPr>
              <w:t>contract</w:t>
            </w:r>
            <w:proofErr w:type="gramEnd"/>
            <w:r w:rsidRPr="0013786E">
              <w:rPr>
                <w:rFonts w:ascii="Times New Roman" w:hAnsi="Times New Roman" w:cs="Times New Roman"/>
                <w:bCs/>
                <w:lang w:val="en-GB" w:eastAsia="en-US"/>
              </w:rPr>
              <w:t>. In the current tender Employer</w:t>
            </w:r>
            <w:r>
              <w:rPr>
                <w:rFonts w:ascii="Times New Roman" w:hAnsi="Times New Roman" w:cs="Times New Roman"/>
                <w:bCs/>
                <w:lang w:val="en-GB" w:eastAsia="en-US"/>
              </w:rPr>
              <w:t xml:space="preserve"> did not give such requirements </w:t>
            </w:r>
            <w:r w:rsidRPr="0013786E">
              <w:rPr>
                <w:rFonts w:ascii="Times New Roman" w:hAnsi="Times New Roman" w:cs="Times New Roman"/>
                <w:bCs/>
                <w:lang w:val="en-GB" w:eastAsia="en-US"/>
              </w:rPr>
              <w:t>for experts, but only for the company (ITT 12.2.b). Regards</w:t>
            </w:r>
          </w:p>
        </w:tc>
        <w:tc>
          <w:tcPr>
            <w:tcW w:w="4410" w:type="dxa"/>
          </w:tcPr>
          <w:p w:rsidR="001E3A7B"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Please see answer on question no 4. Regarding Licenses.</w:t>
            </w:r>
          </w:p>
          <w:p w:rsidR="005D64A5"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To demonstrate technical and professional capacity Tenderer’s are required to complete the Forms enclosed in Volume 1, Section 4. Tenderers are not required to present staff to be engaged in the contract.</w:t>
            </w:r>
          </w:p>
        </w:tc>
      </w:tr>
      <w:tr w:rsidR="005D64A5" w:rsidRPr="00EF6833" w:rsidTr="005D64A5">
        <w:tc>
          <w:tcPr>
            <w:tcW w:w="715" w:type="dxa"/>
          </w:tcPr>
          <w:p w:rsidR="005D64A5" w:rsidRDefault="005D64A5" w:rsidP="0013786E">
            <w:pPr>
              <w:jc w:val="both"/>
              <w:rPr>
                <w:rFonts w:ascii="Times New Roman" w:hAnsi="Times New Roman" w:cs="Times New Roman"/>
                <w:b/>
                <w:bCs/>
                <w:lang w:val="en-GB" w:eastAsia="en-US"/>
              </w:rPr>
            </w:pPr>
            <w:r>
              <w:rPr>
                <w:rFonts w:ascii="Times New Roman" w:hAnsi="Times New Roman" w:cs="Times New Roman"/>
                <w:b/>
                <w:bCs/>
                <w:lang w:val="en-GB" w:eastAsia="en-US"/>
              </w:rPr>
              <w:t>27.</w:t>
            </w:r>
          </w:p>
        </w:tc>
        <w:tc>
          <w:tcPr>
            <w:tcW w:w="4140" w:type="dxa"/>
          </w:tcPr>
          <w:p w:rsidR="005D64A5" w:rsidRPr="0013786E" w:rsidRDefault="005D64A5" w:rsidP="0013786E">
            <w:pPr>
              <w:jc w:val="both"/>
              <w:rPr>
                <w:rFonts w:ascii="Times New Roman" w:hAnsi="Times New Roman" w:cs="Times New Roman"/>
                <w:b/>
                <w:bCs/>
                <w:lang w:val="en-GB" w:eastAsia="en-US"/>
              </w:rPr>
            </w:pPr>
            <w:r w:rsidRPr="0013786E">
              <w:rPr>
                <w:rFonts w:ascii="Times New Roman" w:hAnsi="Times New Roman" w:cs="Times New Roman"/>
                <w:b/>
                <w:bCs/>
                <w:lang w:val="en-GB" w:eastAsia="en-US"/>
              </w:rPr>
              <w:t>Ref: Volume 3.2 Particular technical conditions, Chapter 4.10.4.</w:t>
            </w:r>
          </w:p>
          <w:p w:rsidR="005D64A5" w:rsidRPr="0013786E" w:rsidRDefault="005D64A5" w:rsidP="0013786E">
            <w:pPr>
              <w:jc w:val="both"/>
              <w:rPr>
                <w:rFonts w:ascii="Times New Roman" w:hAnsi="Times New Roman" w:cs="Times New Roman"/>
                <w:bCs/>
                <w:lang w:val="en-GB" w:eastAsia="en-US"/>
              </w:rPr>
            </w:pPr>
            <w:r w:rsidRPr="005D64A5">
              <w:rPr>
                <w:rFonts w:ascii="Times New Roman" w:hAnsi="Times New Roman" w:cs="Times New Roman"/>
                <w:b/>
                <w:bCs/>
                <w:lang w:val="en-GB" w:eastAsia="en-US"/>
              </w:rPr>
              <w:t>Question:</w:t>
            </w:r>
            <w:r w:rsidRPr="005D64A5">
              <w:rPr>
                <w:rFonts w:ascii="Times New Roman" w:hAnsi="Times New Roman" w:cs="Times New Roman"/>
                <w:bCs/>
                <w:lang w:val="en-GB" w:eastAsia="en-US"/>
              </w:rPr>
              <w:t xml:space="preserve"> </w:t>
            </w:r>
            <w:r w:rsidRPr="0013786E">
              <w:rPr>
                <w:rFonts w:ascii="Times New Roman" w:hAnsi="Times New Roman" w:cs="Times New Roman"/>
                <w:bCs/>
                <w:lang w:val="en-GB" w:eastAsia="en-US"/>
              </w:rPr>
              <w:t xml:space="preserve">Please advise if it is acceptable for </w:t>
            </w:r>
            <w:r>
              <w:rPr>
                <w:rFonts w:ascii="Times New Roman" w:hAnsi="Times New Roman" w:cs="Times New Roman"/>
                <w:bCs/>
                <w:lang w:val="en-GB" w:eastAsia="en-US"/>
              </w:rPr>
              <w:t xml:space="preserve">septic sludge receiving station </w:t>
            </w:r>
            <w:r w:rsidRPr="0013786E">
              <w:rPr>
                <w:rFonts w:ascii="Times New Roman" w:hAnsi="Times New Roman" w:cs="Times New Roman"/>
                <w:bCs/>
                <w:lang w:val="en-GB" w:eastAsia="en-US"/>
              </w:rPr>
              <w:t>to be installed in inlet building.</w:t>
            </w:r>
          </w:p>
        </w:tc>
        <w:tc>
          <w:tcPr>
            <w:tcW w:w="4410" w:type="dxa"/>
          </w:tcPr>
          <w:p w:rsidR="005D64A5"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t>Please see the response to the question no. 24</w:t>
            </w:r>
          </w:p>
        </w:tc>
      </w:tr>
      <w:tr w:rsidR="005D64A5" w:rsidRPr="00EF6833" w:rsidTr="005D64A5">
        <w:tc>
          <w:tcPr>
            <w:tcW w:w="715" w:type="dxa"/>
          </w:tcPr>
          <w:p w:rsidR="005D64A5" w:rsidRDefault="005D64A5" w:rsidP="0013786E">
            <w:pPr>
              <w:jc w:val="both"/>
              <w:rPr>
                <w:rFonts w:ascii="Times New Roman" w:hAnsi="Times New Roman" w:cs="Times New Roman"/>
                <w:b/>
                <w:bCs/>
                <w:lang w:val="en-GB" w:eastAsia="en-US"/>
              </w:rPr>
            </w:pPr>
            <w:r>
              <w:rPr>
                <w:rFonts w:ascii="Times New Roman" w:hAnsi="Times New Roman" w:cs="Times New Roman"/>
                <w:b/>
                <w:bCs/>
                <w:lang w:val="en-GB" w:eastAsia="en-US"/>
              </w:rPr>
              <w:t>28.</w:t>
            </w:r>
          </w:p>
        </w:tc>
        <w:tc>
          <w:tcPr>
            <w:tcW w:w="4140" w:type="dxa"/>
          </w:tcPr>
          <w:p w:rsidR="005D64A5" w:rsidRPr="0013786E" w:rsidRDefault="005D64A5" w:rsidP="0013786E">
            <w:pPr>
              <w:jc w:val="both"/>
              <w:rPr>
                <w:rFonts w:ascii="Times New Roman" w:hAnsi="Times New Roman" w:cs="Times New Roman"/>
                <w:b/>
                <w:bCs/>
                <w:lang w:val="en-GB" w:eastAsia="en-US"/>
              </w:rPr>
            </w:pPr>
            <w:r w:rsidRPr="0013786E">
              <w:rPr>
                <w:rFonts w:ascii="Times New Roman" w:hAnsi="Times New Roman" w:cs="Times New Roman"/>
                <w:b/>
                <w:bCs/>
                <w:lang w:val="en-GB" w:eastAsia="en-US"/>
              </w:rPr>
              <w:t>Ref: Volume 3.2 Particular technical requirements, Chapter 4.10.3</w:t>
            </w:r>
          </w:p>
          <w:p w:rsidR="005D64A5" w:rsidRPr="0013786E" w:rsidRDefault="005D64A5" w:rsidP="0013786E">
            <w:pPr>
              <w:jc w:val="both"/>
              <w:rPr>
                <w:rFonts w:ascii="Times New Roman" w:hAnsi="Times New Roman" w:cs="Times New Roman"/>
                <w:bCs/>
                <w:lang w:val="en-GB" w:eastAsia="en-US"/>
              </w:rPr>
            </w:pPr>
            <w:r w:rsidRPr="005D64A5">
              <w:rPr>
                <w:rFonts w:ascii="Times New Roman" w:hAnsi="Times New Roman" w:cs="Times New Roman"/>
                <w:b/>
                <w:bCs/>
                <w:lang w:val="en-GB" w:eastAsia="en-US"/>
              </w:rPr>
              <w:t>Question:</w:t>
            </w:r>
            <w:r w:rsidRPr="005D64A5">
              <w:rPr>
                <w:rFonts w:ascii="Times New Roman" w:hAnsi="Times New Roman" w:cs="Times New Roman"/>
                <w:bCs/>
                <w:lang w:val="en-GB" w:eastAsia="en-US"/>
              </w:rPr>
              <w:t xml:space="preserve"> </w:t>
            </w:r>
            <w:proofErr w:type="gramStart"/>
            <w:r w:rsidRPr="0013786E">
              <w:rPr>
                <w:rFonts w:ascii="Times New Roman" w:hAnsi="Times New Roman" w:cs="Times New Roman"/>
                <w:bCs/>
                <w:lang w:val="en-GB" w:eastAsia="en-US"/>
              </w:rPr>
              <w:t>Coarse</w:t>
            </w:r>
            <w:proofErr w:type="gramEnd"/>
            <w:r w:rsidRPr="0013786E">
              <w:rPr>
                <w:rFonts w:ascii="Times New Roman" w:hAnsi="Times New Roman" w:cs="Times New Roman"/>
                <w:bCs/>
                <w:lang w:val="en-GB" w:eastAsia="en-US"/>
              </w:rPr>
              <w:t xml:space="preserve"> screen. </w:t>
            </w:r>
            <w:proofErr w:type="spellStart"/>
            <w:r w:rsidRPr="0013786E">
              <w:rPr>
                <w:rFonts w:ascii="Times New Roman" w:hAnsi="Times New Roman" w:cs="Times New Roman"/>
                <w:bCs/>
                <w:lang w:val="en-GB" w:eastAsia="en-US"/>
              </w:rPr>
              <w:t>Acc</w:t>
            </w:r>
            <w:proofErr w:type="spellEnd"/>
            <w:r w:rsidRPr="0013786E">
              <w:rPr>
                <w:rFonts w:ascii="Times New Roman" w:hAnsi="Times New Roman" w:cs="Times New Roman"/>
                <w:bCs/>
                <w:lang w:val="en-GB" w:eastAsia="en-US"/>
              </w:rPr>
              <w:t xml:space="preserve"> to Tender requ</w:t>
            </w:r>
            <w:r>
              <w:rPr>
                <w:rFonts w:ascii="Times New Roman" w:hAnsi="Times New Roman" w:cs="Times New Roman"/>
                <w:bCs/>
                <w:lang w:val="en-GB" w:eastAsia="en-US"/>
              </w:rPr>
              <w:t xml:space="preserve">irement coarse screens shall be </w:t>
            </w:r>
            <w:r w:rsidRPr="0013786E">
              <w:rPr>
                <w:rFonts w:ascii="Times New Roman" w:hAnsi="Times New Roman" w:cs="Times New Roman"/>
                <w:bCs/>
                <w:lang w:val="en-GB" w:eastAsia="en-US"/>
              </w:rPr>
              <w:t xml:space="preserve">designed </w:t>
            </w:r>
            <w:r w:rsidRPr="0013786E">
              <w:rPr>
                <w:rFonts w:ascii="Times New Roman" w:hAnsi="Times New Roman" w:cs="Times New Roman"/>
                <w:bCs/>
                <w:lang w:val="en-GB" w:eastAsia="en-US"/>
              </w:rPr>
              <w:lastRenderedPageBreak/>
              <w:t>for peak wet weather fl</w:t>
            </w:r>
            <w:r>
              <w:rPr>
                <w:rFonts w:ascii="Times New Roman" w:hAnsi="Times New Roman" w:cs="Times New Roman"/>
                <w:bCs/>
                <w:lang w:val="en-GB" w:eastAsia="en-US"/>
              </w:rPr>
              <w:t xml:space="preserve">ow and ultimate plant capacity. </w:t>
            </w:r>
            <w:r w:rsidRPr="0013786E">
              <w:rPr>
                <w:rFonts w:ascii="Times New Roman" w:hAnsi="Times New Roman" w:cs="Times New Roman"/>
                <w:bCs/>
                <w:lang w:val="en-GB" w:eastAsia="en-US"/>
              </w:rPr>
              <w:t>Operational regime shall be 1+1 and one manual screen shall be ins</w:t>
            </w:r>
            <w:r>
              <w:rPr>
                <w:rFonts w:ascii="Times New Roman" w:hAnsi="Times New Roman" w:cs="Times New Roman"/>
                <w:bCs/>
                <w:lang w:val="en-GB" w:eastAsia="en-US"/>
              </w:rPr>
              <w:t xml:space="preserve">talled </w:t>
            </w:r>
            <w:r w:rsidRPr="0013786E">
              <w:rPr>
                <w:rFonts w:ascii="Times New Roman" w:hAnsi="Times New Roman" w:cs="Times New Roman"/>
                <w:bCs/>
                <w:lang w:val="en-GB" w:eastAsia="en-US"/>
              </w:rPr>
              <w:t>for an emergency spare. In this way we h</w:t>
            </w:r>
            <w:r>
              <w:rPr>
                <w:rFonts w:ascii="Times New Roman" w:hAnsi="Times New Roman" w:cs="Times New Roman"/>
                <w:bCs/>
                <w:lang w:val="en-GB" w:eastAsia="en-US"/>
              </w:rPr>
              <w:t xml:space="preserve">ave only one operational screen </w:t>
            </w:r>
            <w:r w:rsidRPr="0013786E">
              <w:rPr>
                <w:rFonts w:ascii="Times New Roman" w:hAnsi="Times New Roman" w:cs="Times New Roman"/>
                <w:bCs/>
                <w:lang w:val="en-GB" w:eastAsia="en-US"/>
              </w:rPr>
              <w:t>designed for peak wet weather flow a</w:t>
            </w:r>
            <w:r>
              <w:rPr>
                <w:rFonts w:ascii="Times New Roman" w:hAnsi="Times New Roman" w:cs="Times New Roman"/>
                <w:bCs/>
                <w:lang w:val="en-GB" w:eastAsia="en-US"/>
              </w:rPr>
              <w:t xml:space="preserve">nd two spare screens. Since the </w:t>
            </w:r>
            <w:r w:rsidRPr="0013786E">
              <w:rPr>
                <w:rFonts w:ascii="Times New Roman" w:hAnsi="Times New Roman" w:cs="Times New Roman"/>
                <w:bCs/>
                <w:lang w:val="en-GB" w:eastAsia="en-US"/>
              </w:rPr>
              <w:t>peak wet weather flow is almost three t</w:t>
            </w:r>
            <w:r>
              <w:rPr>
                <w:rFonts w:ascii="Times New Roman" w:hAnsi="Times New Roman" w:cs="Times New Roman"/>
                <w:bCs/>
                <w:lang w:val="en-GB" w:eastAsia="en-US"/>
              </w:rPr>
              <w:t xml:space="preserve">imes dry weather flow operation </w:t>
            </w:r>
            <w:r w:rsidRPr="0013786E">
              <w:rPr>
                <w:rFonts w:ascii="Times New Roman" w:hAnsi="Times New Roman" w:cs="Times New Roman"/>
                <w:bCs/>
                <w:lang w:val="en-GB" w:eastAsia="en-US"/>
              </w:rPr>
              <w:t xml:space="preserve">of </w:t>
            </w:r>
            <w:proofErr w:type="gramStart"/>
            <w:r w:rsidRPr="0013786E">
              <w:rPr>
                <w:rFonts w:ascii="Times New Roman" w:hAnsi="Times New Roman" w:cs="Times New Roman"/>
                <w:bCs/>
                <w:lang w:val="en-GB" w:eastAsia="en-US"/>
              </w:rPr>
              <w:t>the this</w:t>
            </w:r>
            <w:proofErr w:type="gramEnd"/>
            <w:r w:rsidRPr="0013786E">
              <w:rPr>
                <w:rFonts w:ascii="Times New Roman" w:hAnsi="Times New Roman" w:cs="Times New Roman"/>
                <w:bCs/>
                <w:lang w:val="en-GB" w:eastAsia="en-US"/>
              </w:rPr>
              <w:t xml:space="preserve"> one duty screen will not be </w:t>
            </w:r>
            <w:r>
              <w:rPr>
                <w:rFonts w:ascii="Times New Roman" w:hAnsi="Times New Roman" w:cs="Times New Roman"/>
                <w:bCs/>
                <w:lang w:val="en-GB" w:eastAsia="en-US"/>
              </w:rPr>
              <w:t xml:space="preserve">optimal during the average flow </w:t>
            </w:r>
            <w:r w:rsidRPr="0013786E">
              <w:rPr>
                <w:rFonts w:ascii="Times New Roman" w:hAnsi="Times New Roman" w:cs="Times New Roman"/>
                <w:bCs/>
                <w:lang w:val="en-GB" w:eastAsia="en-US"/>
              </w:rPr>
              <w:t>conditions. Please advise if we can desig</w:t>
            </w:r>
            <w:r>
              <w:rPr>
                <w:rFonts w:ascii="Times New Roman" w:hAnsi="Times New Roman" w:cs="Times New Roman"/>
                <w:bCs/>
                <w:lang w:val="en-GB" w:eastAsia="en-US"/>
              </w:rPr>
              <w:t xml:space="preserve">n automatic screens for max dry </w:t>
            </w:r>
            <w:r w:rsidRPr="0013786E">
              <w:rPr>
                <w:rFonts w:ascii="Times New Roman" w:hAnsi="Times New Roman" w:cs="Times New Roman"/>
                <w:bCs/>
                <w:lang w:val="en-GB" w:eastAsia="en-US"/>
              </w:rPr>
              <w:t>weather flow. During the dry weather one</w:t>
            </w:r>
            <w:r>
              <w:rPr>
                <w:rFonts w:ascii="Times New Roman" w:hAnsi="Times New Roman" w:cs="Times New Roman"/>
                <w:bCs/>
                <w:lang w:val="en-GB" w:eastAsia="en-US"/>
              </w:rPr>
              <w:t xml:space="preserve"> screen will be duty and during </w:t>
            </w:r>
            <w:r w:rsidRPr="0013786E">
              <w:rPr>
                <w:rFonts w:ascii="Times New Roman" w:hAnsi="Times New Roman" w:cs="Times New Roman"/>
                <w:bCs/>
                <w:lang w:val="en-GB" w:eastAsia="en-US"/>
              </w:rPr>
              <w:t>the wet weather flow both screens will</w:t>
            </w:r>
            <w:r>
              <w:rPr>
                <w:rFonts w:ascii="Times New Roman" w:hAnsi="Times New Roman" w:cs="Times New Roman"/>
                <w:bCs/>
                <w:lang w:val="en-GB" w:eastAsia="en-US"/>
              </w:rPr>
              <w:t xml:space="preserve"> be in operation. Manual screen </w:t>
            </w:r>
            <w:r w:rsidRPr="0013786E">
              <w:rPr>
                <w:rFonts w:ascii="Times New Roman" w:hAnsi="Times New Roman" w:cs="Times New Roman"/>
                <w:bCs/>
                <w:lang w:val="en-GB" w:eastAsia="en-US"/>
              </w:rPr>
              <w:t>designed for the peak flow will remain as emergency bypass screen.</w:t>
            </w:r>
          </w:p>
        </w:tc>
        <w:tc>
          <w:tcPr>
            <w:tcW w:w="4410" w:type="dxa"/>
          </w:tcPr>
          <w:p w:rsidR="005D64A5" w:rsidRPr="001E3A7B" w:rsidRDefault="001E3A7B" w:rsidP="001E3A7B">
            <w:pPr>
              <w:jc w:val="both"/>
              <w:rPr>
                <w:rFonts w:ascii="Times New Roman" w:hAnsi="Times New Roman" w:cs="Times New Roman"/>
                <w:lang w:val="en-US"/>
              </w:rPr>
            </w:pPr>
            <w:r w:rsidRPr="001E3A7B">
              <w:rPr>
                <w:rFonts w:ascii="Times New Roman" w:hAnsi="Times New Roman" w:cs="Times New Roman"/>
                <w:lang w:val="en-US"/>
              </w:rPr>
              <w:lastRenderedPageBreak/>
              <w:t>Please see the response to the question no. 23</w:t>
            </w:r>
          </w:p>
        </w:tc>
      </w:tr>
    </w:tbl>
    <w:p w:rsidR="006B13F6" w:rsidRPr="00BE1E5F" w:rsidRDefault="006B13F6" w:rsidP="00971480">
      <w:pPr>
        <w:rPr>
          <w:rFonts w:ascii="Times New Roman" w:hAnsi="Times New Roman" w:cs="Times New Roman"/>
          <w:color w:val="000000" w:themeColor="text1"/>
          <w:lang w:val="en-US"/>
        </w:rPr>
      </w:pPr>
    </w:p>
    <w:sectPr w:rsidR="006B13F6" w:rsidRPr="00BE1E5F" w:rsidSect="00450AB2">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0F" w:rsidRDefault="00DB250F" w:rsidP="00EF5AA9">
      <w:pPr>
        <w:spacing w:after="0" w:line="240" w:lineRule="auto"/>
      </w:pPr>
      <w:r>
        <w:separator/>
      </w:r>
    </w:p>
  </w:endnote>
  <w:endnote w:type="continuationSeparator" w:id="0">
    <w:p w:rsidR="00DB250F" w:rsidRDefault="00DB250F" w:rsidP="00EF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0F" w:rsidRDefault="00DB250F" w:rsidP="00EF5AA9">
      <w:pPr>
        <w:spacing w:after="0" w:line="240" w:lineRule="auto"/>
      </w:pPr>
      <w:r>
        <w:separator/>
      </w:r>
    </w:p>
  </w:footnote>
  <w:footnote w:type="continuationSeparator" w:id="0">
    <w:p w:rsidR="00DB250F" w:rsidRDefault="00DB250F" w:rsidP="00EF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A5" w:rsidRPr="005F7FF3" w:rsidRDefault="005D64A5" w:rsidP="005D64A5">
    <w:pPr>
      <w:jc w:val="center"/>
      <w:rPr>
        <w:rFonts w:ascii="Times New Roman" w:hAnsi="Times New Roman"/>
        <w:sz w:val="24"/>
      </w:rPr>
    </w:pPr>
    <w:r w:rsidRPr="005F7FF3">
      <w:rPr>
        <w:rFonts w:ascii="Times New Roman" w:hAnsi="Times New Roman"/>
        <w:noProof/>
        <w:sz w:val="24"/>
        <w:lang w:val="en-US" w:eastAsia="en-US"/>
      </w:rPr>
      <w:drawing>
        <wp:inline distT="0" distB="0" distL="0" distR="0" wp14:anchorId="01438333" wp14:editId="160CEEEE">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5D64A5" w:rsidRPr="005F7FF3" w:rsidRDefault="005D64A5" w:rsidP="005D64A5">
    <w:pPr>
      <w:spacing w:before="120" w:after="120"/>
      <w:jc w:val="center"/>
      <w:rPr>
        <w:rFonts w:ascii="Times New Roman" w:hAnsi="Times New Roman"/>
        <w:sz w:val="24"/>
      </w:rPr>
    </w:pPr>
    <w:r w:rsidRPr="005F7FF3">
      <w:rPr>
        <w:rFonts w:ascii="Times New Roman" w:hAnsi="Times New Roman"/>
        <w:sz w:val="24"/>
      </w:rPr>
      <w:t>Republic of Serbia</w:t>
    </w:r>
  </w:p>
  <w:p w:rsidR="005D64A5" w:rsidRPr="005F7FF3" w:rsidRDefault="005D64A5" w:rsidP="005D64A5">
    <w:pPr>
      <w:spacing w:before="120" w:after="120"/>
      <w:jc w:val="center"/>
      <w:rPr>
        <w:rFonts w:ascii="Times New Roman" w:hAnsi="Times New Roman"/>
        <w:b/>
        <w:sz w:val="24"/>
      </w:rPr>
    </w:pPr>
    <w:r w:rsidRPr="005F7FF3">
      <w:rPr>
        <w:rFonts w:ascii="Times New Roman" w:hAnsi="Times New Roman"/>
        <w:b/>
        <w:sz w:val="24"/>
      </w:rPr>
      <w:t>MINISTRY OF FINANCE</w:t>
    </w:r>
  </w:p>
  <w:p w:rsidR="005D64A5" w:rsidRPr="005F7FF3" w:rsidRDefault="005D64A5" w:rsidP="005D64A5">
    <w:pPr>
      <w:spacing w:before="120" w:after="120"/>
      <w:jc w:val="center"/>
      <w:rPr>
        <w:rFonts w:ascii="Times New Roman" w:hAnsi="Times New Roman"/>
        <w:b/>
        <w:sz w:val="24"/>
      </w:rPr>
    </w:pPr>
    <w:r w:rsidRPr="005F7FF3">
      <w:rPr>
        <w:rFonts w:ascii="Times New Roman" w:hAnsi="Times New Roman"/>
        <w:b/>
        <w:sz w:val="24"/>
      </w:rPr>
      <w:t>Department for Contracting and Financing of EU Funded Programmes (CFCU)</w:t>
    </w:r>
  </w:p>
  <w:p w:rsidR="00EF5AA9" w:rsidRPr="005D64A5" w:rsidRDefault="004A49D7" w:rsidP="00A178A5">
    <w:pPr>
      <w:pStyle w:val="Header"/>
      <w:rPr>
        <w:rFonts w:ascii="Times New Roman" w:hAnsi="Times New Roman" w:cs="Times New Roman"/>
        <w:color w:val="000000"/>
        <w:lang w:val="en-US"/>
      </w:rPr>
    </w:pPr>
    <w:r w:rsidRPr="005D64A5">
      <w:rPr>
        <w:rFonts w:ascii="Times New Roman" w:hAnsi="Times New Roman" w:cs="Times New Roman"/>
        <w:color w:val="000000"/>
        <w:lang w:val="en-US"/>
      </w:rPr>
      <w:tab/>
    </w:r>
    <w:r w:rsidR="00DF41A4" w:rsidRPr="005D64A5">
      <w:rPr>
        <w:rFonts w:ascii="Times New Roman" w:hAnsi="Times New Roman" w:cs="Times New Roman"/>
        <w:color w:val="00000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7E86"/>
    <w:multiLevelType w:val="hybridMultilevel"/>
    <w:tmpl w:val="53903F76"/>
    <w:lvl w:ilvl="0" w:tplc="05C0DDD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00E18"/>
    <w:multiLevelType w:val="singleLevel"/>
    <w:tmpl w:val="4E1A982C"/>
    <w:lvl w:ilvl="0">
      <w:start w:val="1"/>
      <w:numFmt w:val="bullet"/>
      <w:pStyle w:val="ListBullet"/>
      <w:lvlText w:val=""/>
      <w:lvlJc w:val="left"/>
      <w:pPr>
        <w:tabs>
          <w:tab w:val="num" w:pos="425"/>
        </w:tabs>
        <w:ind w:left="425" w:hanging="283"/>
      </w:pPr>
      <w:rPr>
        <w:rFonts w:ascii="Symbol" w:hAnsi="Symbol"/>
      </w:rPr>
    </w:lvl>
  </w:abstractNum>
  <w:abstractNum w:abstractNumId="2" w15:restartNumberingAfterBreak="0">
    <w:nsid w:val="3EF20A23"/>
    <w:multiLevelType w:val="hybridMultilevel"/>
    <w:tmpl w:val="9B022870"/>
    <w:lvl w:ilvl="0" w:tplc="0B08A87A">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14059"/>
    <w:multiLevelType w:val="hybridMultilevel"/>
    <w:tmpl w:val="2DA67DB2"/>
    <w:lvl w:ilvl="0" w:tplc="1D8A9C22">
      <w:start w:val="9"/>
      <w:numFmt w:val="bullet"/>
      <w:lvlText w:val="-"/>
      <w:lvlJc w:val="left"/>
      <w:pPr>
        <w:ind w:left="1417" w:hanging="360"/>
      </w:pPr>
      <w:rPr>
        <w:rFonts w:ascii="Times New Roman" w:eastAsiaTheme="minorHAnsi" w:hAnsi="Times New Roman" w:cs="Times New Roman"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5" w15:restartNumberingAfterBreak="0">
    <w:nsid w:val="60707B1C"/>
    <w:multiLevelType w:val="hybridMultilevel"/>
    <w:tmpl w:val="6C7E8540"/>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6" w15:restartNumberingAfterBreak="0">
    <w:nsid w:val="6A7B4BF1"/>
    <w:multiLevelType w:val="multilevel"/>
    <w:tmpl w:val="AC9A1F52"/>
    <w:lvl w:ilvl="0">
      <w:start w:val="1"/>
      <w:numFmt w:val="decimal"/>
      <w:pStyle w:val="Heading1"/>
      <w:lvlText w:val="%1."/>
      <w:lvlJc w:val="left"/>
      <w:pPr>
        <w:tabs>
          <w:tab w:val="num" w:pos="480"/>
        </w:tabs>
        <w:ind w:left="480" w:hanging="480"/>
      </w:pPr>
      <w:rPr>
        <w:rFonts w:hint="default"/>
      </w:rPr>
    </w:lvl>
    <w:lvl w:ilvl="1">
      <w:start w:val="6"/>
      <w:numFmt w:val="decimal"/>
      <w:lvlText w:val="%1.%2."/>
      <w:lvlJc w:val="left"/>
      <w:pPr>
        <w:tabs>
          <w:tab w:val="num" w:pos="1710"/>
        </w:tabs>
        <w:ind w:left="171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F13984"/>
    <w:multiLevelType w:val="hybridMultilevel"/>
    <w:tmpl w:val="8354CBA2"/>
    <w:lvl w:ilvl="0" w:tplc="0B08A87A">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FC2CA5"/>
    <w:multiLevelType w:val="hybridMultilevel"/>
    <w:tmpl w:val="6518C7A6"/>
    <w:lvl w:ilvl="0" w:tplc="0B08A87A">
      <w:start w:val="1"/>
      <w:numFmt w:val="decimal"/>
      <w:lvlText w:val="%1."/>
      <w:lvlJc w:val="left"/>
      <w:pPr>
        <w:ind w:left="630" w:hanging="360"/>
      </w:pPr>
      <w:rPr>
        <w:rFonts w:ascii="Times New Roman" w:hAnsi="Times New Roman" w:cs="Times New Roman" w:hint="default"/>
        <w:b/>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4"/>
  </w:num>
  <w:num w:numId="3">
    <w:abstractNumId w:val="8"/>
  </w:num>
  <w:num w:numId="4">
    <w:abstractNumId w:val="1"/>
  </w:num>
  <w:num w:numId="5">
    <w:abstractNumId w:val="5"/>
  </w:num>
  <w:num w:numId="6">
    <w:abstractNumId w:val="3"/>
  </w:num>
  <w:num w:numId="7">
    <w:abstractNumId w:val="7"/>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9D"/>
    <w:rsid w:val="00002FC3"/>
    <w:rsid w:val="00004276"/>
    <w:rsid w:val="0001415F"/>
    <w:rsid w:val="000144F6"/>
    <w:rsid w:val="00014C6F"/>
    <w:rsid w:val="000150B2"/>
    <w:rsid w:val="00015C2F"/>
    <w:rsid w:val="00015D7C"/>
    <w:rsid w:val="000215FA"/>
    <w:rsid w:val="00026384"/>
    <w:rsid w:val="00026781"/>
    <w:rsid w:val="0002755B"/>
    <w:rsid w:val="0003023C"/>
    <w:rsid w:val="00033DCA"/>
    <w:rsid w:val="00046221"/>
    <w:rsid w:val="00051C6A"/>
    <w:rsid w:val="000522B6"/>
    <w:rsid w:val="00053B67"/>
    <w:rsid w:val="000565E8"/>
    <w:rsid w:val="000614C3"/>
    <w:rsid w:val="00067B29"/>
    <w:rsid w:val="00070C6E"/>
    <w:rsid w:val="00073688"/>
    <w:rsid w:val="00076756"/>
    <w:rsid w:val="00081AA9"/>
    <w:rsid w:val="0009022A"/>
    <w:rsid w:val="000925EE"/>
    <w:rsid w:val="0009643D"/>
    <w:rsid w:val="0009732A"/>
    <w:rsid w:val="00097987"/>
    <w:rsid w:val="000A0F1B"/>
    <w:rsid w:val="000A14DE"/>
    <w:rsid w:val="000A6D82"/>
    <w:rsid w:val="000B31C5"/>
    <w:rsid w:val="000C1570"/>
    <w:rsid w:val="000C5133"/>
    <w:rsid w:val="000C64A2"/>
    <w:rsid w:val="000C7F17"/>
    <w:rsid w:val="000D2191"/>
    <w:rsid w:val="000D3395"/>
    <w:rsid w:val="000D5AA6"/>
    <w:rsid w:val="000D7B76"/>
    <w:rsid w:val="000E0617"/>
    <w:rsid w:val="000E0B9B"/>
    <w:rsid w:val="000E257A"/>
    <w:rsid w:val="000E2597"/>
    <w:rsid w:val="000E2A10"/>
    <w:rsid w:val="000E368B"/>
    <w:rsid w:val="000E4951"/>
    <w:rsid w:val="000F0AC5"/>
    <w:rsid w:val="000F1C63"/>
    <w:rsid w:val="000F5CF8"/>
    <w:rsid w:val="000F7CB8"/>
    <w:rsid w:val="0010042E"/>
    <w:rsid w:val="00105AD4"/>
    <w:rsid w:val="00111DC5"/>
    <w:rsid w:val="0011470C"/>
    <w:rsid w:val="0011747E"/>
    <w:rsid w:val="00122918"/>
    <w:rsid w:val="00123210"/>
    <w:rsid w:val="0013786E"/>
    <w:rsid w:val="001461BF"/>
    <w:rsid w:val="0014699A"/>
    <w:rsid w:val="00146D6E"/>
    <w:rsid w:val="00147F7B"/>
    <w:rsid w:val="001548A4"/>
    <w:rsid w:val="00160FDD"/>
    <w:rsid w:val="00163B30"/>
    <w:rsid w:val="00172F92"/>
    <w:rsid w:val="00177D41"/>
    <w:rsid w:val="0018336C"/>
    <w:rsid w:val="00184134"/>
    <w:rsid w:val="00194A54"/>
    <w:rsid w:val="00194CF4"/>
    <w:rsid w:val="001957C9"/>
    <w:rsid w:val="001A10F8"/>
    <w:rsid w:val="001A1F42"/>
    <w:rsid w:val="001A2222"/>
    <w:rsid w:val="001A2A7B"/>
    <w:rsid w:val="001A3526"/>
    <w:rsid w:val="001A3897"/>
    <w:rsid w:val="001A589A"/>
    <w:rsid w:val="001A5D14"/>
    <w:rsid w:val="001A68AF"/>
    <w:rsid w:val="001B2B5C"/>
    <w:rsid w:val="001B3FDE"/>
    <w:rsid w:val="001B4752"/>
    <w:rsid w:val="001B4D23"/>
    <w:rsid w:val="001B790D"/>
    <w:rsid w:val="001C62D1"/>
    <w:rsid w:val="001D1BFA"/>
    <w:rsid w:val="001D4B05"/>
    <w:rsid w:val="001E3A7B"/>
    <w:rsid w:val="001E3F86"/>
    <w:rsid w:val="001E7130"/>
    <w:rsid w:val="001F27FC"/>
    <w:rsid w:val="001F62EC"/>
    <w:rsid w:val="002061AA"/>
    <w:rsid w:val="00207016"/>
    <w:rsid w:val="002140B2"/>
    <w:rsid w:val="00223A59"/>
    <w:rsid w:val="00225998"/>
    <w:rsid w:val="0022774B"/>
    <w:rsid w:val="00230C49"/>
    <w:rsid w:val="002366EE"/>
    <w:rsid w:val="00244AB0"/>
    <w:rsid w:val="0025396C"/>
    <w:rsid w:val="00253B81"/>
    <w:rsid w:val="00254C14"/>
    <w:rsid w:val="0025560B"/>
    <w:rsid w:val="00260AC4"/>
    <w:rsid w:val="0026120C"/>
    <w:rsid w:val="00262EFC"/>
    <w:rsid w:val="002645D6"/>
    <w:rsid w:val="002721A7"/>
    <w:rsid w:val="00276278"/>
    <w:rsid w:val="00276ED9"/>
    <w:rsid w:val="00277A4B"/>
    <w:rsid w:val="0028233F"/>
    <w:rsid w:val="00282B3F"/>
    <w:rsid w:val="00285074"/>
    <w:rsid w:val="00293E61"/>
    <w:rsid w:val="002A0F2C"/>
    <w:rsid w:val="002A3A9A"/>
    <w:rsid w:val="002A3F1D"/>
    <w:rsid w:val="002A4F03"/>
    <w:rsid w:val="002A7A27"/>
    <w:rsid w:val="002B2411"/>
    <w:rsid w:val="002B61BE"/>
    <w:rsid w:val="002B65BF"/>
    <w:rsid w:val="002C18A9"/>
    <w:rsid w:val="002C2C62"/>
    <w:rsid w:val="002C707A"/>
    <w:rsid w:val="002C7588"/>
    <w:rsid w:val="002D1D4E"/>
    <w:rsid w:val="002D22CA"/>
    <w:rsid w:val="002D2424"/>
    <w:rsid w:val="002D3C52"/>
    <w:rsid w:val="002D57FE"/>
    <w:rsid w:val="002E2261"/>
    <w:rsid w:val="002E682A"/>
    <w:rsid w:val="002E6AC9"/>
    <w:rsid w:val="002E6C05"/>
    <w:rsid w:val="002F024C"/>
    <w:rsid w:val="002F040B"/>
    <w:rsid w:val="002F1418"/>
    <w:rsid w:val="002F2DBF"/>
    <w:rsid w:val="002F36DD"/>
    <w:rsid w:val="002F4EA9"/>
    <w:rsid w:val="002F4F3D"/>
    <w:rsid w:val="002F7A4F"/>
    <w:rsid w:val="00300000"/>
    <w:rsid w:val="003019D7"/>
    <w:rsid w:val="003034BC"/>
    <w:rsid w:val="00312DE3"/>
    <w:rsid w:val="0031569D"/>
    <w:rsid w:val="00316EC6"/>
    <w:rsid w:val="00317742"/>
    <w:rsid w:val="003228D4"/>
    <w:rsid w:val="00325F2F"/>
    <w:rsid w:val="00327336"/>
    <w:rsid w:val="00330029"/>
    <w:rsid w:val="00334F09"/>
    <w:rsid w:val="00340742"/>
    <w:rsid w:val="003420A2"/>
    <w:rsid w:val="0034588C"/>
    <w:rsid w:val="003473AE"/>
    <w:rsid w:val="003478C7"/>
    <w:rsid w:val="00352540"/>
    <w:rsid w:val="0035345E"/>
    <w:rsid w:val="00354159"/>
    <w:rsid w:val="003651DD"/>
    <w:rsid w:val="00365828"/>
    <w:rsid w:val="0036699D"/>
    <w:rsid w:val="00371DA8"/>
    <w:rsid w:val="00376FA4"/>
    <w:rsid w:val="003818AA"/>
    <w:rsid w:val="00386E05"/>
    <w:rsid w:val="00387424"/>
    <w:rsid w:val="00392B41"/>
    <w:rsid w:val="003934BA"/>
    <w:rsid w:val="00393CB6"/>
    <w:rsid w:val="00395AED"/>
    <w:rsid w:val="003A0036"/>
    <w:rsid w:val="003A0929"/>
    <w:rsid w:val="003A497C"/>
    <w:rsid w:val="003A659E"/>
    <w:rsid w:val="003B0561"/>
    <w:rsid w:val="003B1798"/>
    <w:rsid w:val="003B24A1"/>
    <w:rsid w:val="003B2795"/>
    <w:rsid w:val="003B7735"/>
    <w:rsid w:val="003C0BFF"/>
    <w:rsid w:val="003D28B7"/>
    <w:rsid w:val="003D47A2"/>
    <w:rsid w:val="003E14EF"/>
    <w:rsid w:val="003E2053"/>
    <w:rsid w:val="003F1A67"/>
    <w:rsid w:val="003F3166"/>
    <w:rsid w:val="003F33E5"/>
    <w:rsid w:val="003F37EF"/>
    <w:rsid w:val="003F4280"/>
    <w:rsid w:val="003F42C7"/>
    <w:rsid w:val="0042384C"/>
    <w:rsid w:val="00426617"/>
    <w:rsid w:val="00426FC7"/>
    <w:rsid w:val="00437F1D"/>
    <w:rsid w:val="00440B50"/>
    <w:rsid w:val="00445E0F"/>
    <w:rsid w:val="00446D43"/>
    <w:rsid w:val="004477D9"/>
    <w:rsid w:val="00450AB2"/>
    <w:rsid w:val="00463870"/>
    <w:rsid w:val="0046405E"/>
    <w:rsid w:val="00465D72"/>
    <w:rsid w:val="00473B46"/>
    <w:rsid w:val="004769CE"/>
    <w:rsid w:val="00481A80"/>
    <w:rsid w:val="004825C7"/>
    <w:rsid w:val="0048474F"/>
    <w:rsid w:val="004861AB"/>
    <w:rsid w:val="0049081A"/>
    <w:rsid w:val="004919DC"/>
    <w:rsid w:val="00493848"/>
    <w:rsid w:val="00494D9D"/>
    <w:rsid w:val="004976A9"/>
    <w:rsid w:val="004A3119"/>
    <w:rsid w:val="004A49D7"/>
    <w:rsid w:val="004A52B7"/>
    <w:rsid w:val="004B1523"/>
    <w:rsid w:val="004B5E74"/>
    <w:rsid w:val="004B721F"/>
    <w:rsid w:val="004B7797"/>
    <w:rsid w:val="004B7E84"/>
    <w:rsid w:val="004C3769"/>
    <w:rsid w:val="004C60F8"/>
    <w:rsid w:val="004C7790"/>
    <w:rsid w:val="004C7C58"/>
    <w:rsid w:val="004D3AA3"/>
    <w:rsid w:val="004D3DD0"/>
    <w:rsid w:val="004D7B56"/>
    <w:rsid w:val="004E149F"/>
    <w:rsid w:val="004E2E74"/>
    <w:rsid w:val="004E515B"/>
    <w:rsid w:val="004F0AF0"/>
    <w:rsid w:val="004F0D2B"/>
    <w:rsid w:val="004F35C6"/>
    <w:rsid w:val="004F7922"/>
    <w:rsid w:val="004F7E20"/>
    <w:rsid w:val="00501C9C"/>
    <w:rsid w:val="005037D2"/>
    <w:rsid w:val="00510BDD"/>
    <w:rsid w:val="005129C4"/>
    <w:rsid w:val="005136E3"/>
    <w:rsid w:val="00515AC5"/>
    <w:rsid w:val="0052148B"/>
    <w:rsid w:val="00531732"/>
    <w:rsid w:val="00534254"/>
    <w:rsid w:val="00537C21"/>
    <w:rsid w:val="0054127C"/>
    <w:rsid w:val="00542E61"/>
    <w:rsid w:val="005435AC"/>
    <w:rsid w:val="00545353"/>
    <w:rsid w:val="005500D3"/>
    <w:rsid w:val="005513AA"/>
    <w:rsid w:val="00554A9D"/>
    <w:rsid w:val="005555DE"/>
    <w:rsid w:val="00556BFB"/>
    <w:rsid w:val="00561605"/>
    <w:rsid w:val="00563077"/>
    <w:rsid w:val="00565876"/>
    <w:rsid w:val="005668F4"/>
    <w:rsid w:val="00570EC7"/>
    <w:rsid w:val="00572492"/>
    <w:rsid w:val="00572772"/>
    <w:rsid w:val="005735EA"/>
    <w:rsid w:val="00573B50"/>
    <w:rsid w:val="00575AE5"/>
    <w:rsid w:val="00577E9B"/>
    <w:rsid w:val="00580F79"/>
    <w:rsid w:val="005827A5"/>
    <w:rsid w:val="00582ACC"/>
    <w:rsid w:val="00583772"/>
    <w:rsid w:val="00586475"/>
    <w:rsid w:val="005922A6"/>
    <w:rsid w:val="00592CCC"/>
    <w:rsid w:val="005A2CF0"/>
    <w:rsid w:val="005A7343"/>
    <w:rsid w:val="005B278B"/>
    <w:rsid w:val="005B6440"/>
    <w:rsid w:val="005C31CD"/>
    <w:rsid w:val="005C7064"/>
    <w:rsid w:val="005C7D3A"/>
    <w:rsid w:val="005D054D"/>
    <w:rsid w:val="005D2E50"/>
    <w:rsid w:val="005D4D1C"/>
    <w:rsid w:val="005D5607"/>
    <w:rsid w:val="005D64A5"/>
    <w:rsid w:val="005D6C74"/>
    <w:rsid w:val="005E1988"/>
    <w:rsid w:val="005E4A9A"/>
    <w:rsid w:val="005E6EE4"/>
    <w:rsid w:val="005F1276"/>
    <w:rsid w:val="005F1964"/>
    <w:rsid w:val="005F341D"/>
    <w:rsid w:val="005F4AF9"/>
    <w:rsid w:val="005F5170"/>
    <w:rsid w:val="006009F1"/>
    <w:rsid w:val="0060124B"/>
    <w:rsid w:val="00603450"/>
    <w:rsid w:val="00604E56"/>
    <w:rsid w:val="006108CB"/>
    <w:rsid w:val="006135D3"/>
    <w:rsid w:val="006173CC"/>
    <w:rsid w:val="00617E07"/>
    <w:rsid w:val="0062117F"/>
    <w:rsid w:val="00621A5D"/>
    <w:rsid w:val="0063089F"/>
    <w:rsid w:val="00631E6A"/>
    <w:rsid w:val="00632262"/>
    <w:rsid w:val="00632C74"/>
    <w:rsid w:val="00636BFF"/>
    <w:rsid w:val="0064121F"/>
    <w:rsid w:val="0064578E"/>
    <w:rsid w:val="00647CDD"/>
    <w:rsid w:val="006503F6"/>
    <w:rsid w:val="0065054D"/>
    <w:rsid w:val="00652B3D"/>
    <w:rsid w:val="00653127"/>
    <w:rsid w:val="006654B6"/>
    <w:rsid w:val="006658B2"/>
    <w:rsid w:val="0066706C"/>
    <w:rsid w:val="00670C46"/>
    <w:rsid w:val="00674C33"/>
    <w:rsid w:val="006766F8"/>
    <w:rsid w:val="00681617"/>
    <w:rsid w:val="00687F0A"/>
    <w:rsid w:val="006929C8"/>
    <w:rsid w:val="00693577"/>
    <w:rsid w:val="0069790F"/>
    <w:rsid w:val="006A26B8"/>
    <w:rsid w:val="006A30B8"/>
    <w:rsid w:val="006A3AF3"/>
    <w:rsid w:val="006A648C"/>
    <w:rsid w:val="006B13F6"/>
    <w:rsid w:val="006B2F19"/>
    <w:rsid w:val="006B39F1"/>
    <w:rsid w:val="006B46BC"/>
    <w:rsid w:val="006B7DFC"/>
    <w:rsid w:val="006C312D"/>
    <w:rsid w:val="006C316D"/>
    <w:rsid w:val="006C6F82"/>
    <w:rsid w:val="006C78E1"/>
    <w:rsid w:val="006C7F87"/>
    <w:rsid w:val="006D190C"/>
    <w:rsid w:val="006D4244"/>
    <w:rsid w:val="006D6F5D"/>
    <w:rsid w:val="006D7253"/>
    <w:rsid w:val="006E1B35"/>
    <w:rsid w:val="006E2413"/>
    <w:rsid w:val="006E2724"/>
    <w:rsid w:val="006E5D93"/>
    <w:rsid w:val="006E65D4"/>
    <w:rsid w:val="006E69D8"/>
    <w:rsid w:val="006E721F"/>
    <w:rsid w:val="006F2208"/>
    <w:rsid w:val="006F2D9A"/>
    <w:rsid w:val="006F5554"/>
    <w:rsid w:val="006F6C68"/>
    <w:rsid w:val="006F7337"/>
    <w:rsid w:val="007029A2"/>
    <w:rsid w:val="00711A63"/>
    <w:rsid w:val="0071574C"/>
    <w:rsid w:val="00727EAA"/>
    <w:rsid w:val="00727F2A"/>
    <w:rsid w:val="00730645"/>
    <w:rsid w:val="007345C0"/>
    <w:rsid w:val="00737861"/>
    <w:rsid w:val="007425A4"/>
    <w:rsid w:val="0074482A"/>
    <w:rsid w:val="00750281"/>
    <w:rsid w:val="00751A5B"/>
    <w:rsid w:val="00752A6A"/>
    <w:rsid w:val="00754FD3"/>
    <w:rsid w:val="00757259"/>
    <w:rsid w:val="00757B61"/>
    <w:rsid w:val="00763327"/>
    <w:rsid w:val="00764C8B"/>
    <w:rsid w:val="00765108"/>
    <w:rsid w:val="0076554F"/>
    <w:rsid w:val="00767659"/>
    <w:rsid w:val="0077089F"/>
    <w:rsid w:val="00775117"/>
    <w:rsid w:val="007821BD"/>
    <w:rsid w:val="00785F8F"/>
    <w:rsid w:val="00787353"/>
    <w:rsid w:val="00797730"/>
    <w:rsid w:val="00797A90"/>
    <w:rsid w:val="007A1C69"/>
    <w:rsid w:val="007A4AEA"/>
    <w:rsid w:val="007A4BAB"/>
    <w:rsid w:val="007A6511"/>
    <w:rsid w:val="007B1BD9"/>
    <w:rsid w:val="007B6D40"/>
    <w:rsid w:val="007C1F91"/>
    <w:rsid w:val="007D6329"/>
    <w:rsid w:val="007D679D"/>
    <w:rsid w:val="007E4A25"/>
    <w:rsid w:val="007E731B"/>
    <w:rsid w:val="007F03D9"/>
    <w:rsid w:val="007F04B5"/>
    <w:rsid w:val="00801F75"/>
    <w:rsid w:val="00804280"/>
    <w:rsid w:val="00805592"/>
    <w:rsid w:val="008124F9"/>
    <w:rsid w:val="00812804"/>
    <w:rsid w:val="00815C51"/>
    <w:rsid w:val="00824E0F"/>
    <w:rsid w:val="00827EE7"/>
    <w:rsid w:val="00832697"/>
    <w:rsid w:val="00833846"/>
    <w:rsid w:val="00833B74"/>
    <w:rsid w:val="00836575"/>
    <w:rsid w:val="00836DB3"/>
    <w:rsid w:val="008402A0"/>
    <w:rsid w:val="00851E38"/>
    <w:rsid w:val="00852352"/>
    <w:rsid w:val="008527BE"/>
    <w:rsid w:val="00853AEB"/>
    <w:rsid w:val="00856B2C"/>
    <w:rsid w:val="00860360"/>
    <w:rsid w:val="00860777"/>
    <w:rsid w:val="0086112E"/>
    <w:rsid w:val="00864656"/>
    <w:rsid w:val="008662D1"/>
    <w:rsid w:val="008715A7"/>
    <w:rsid w:val="0087197D"/>
    <w:rsid w:val="00872422"/>
    <w:rsid w:val="008729F8"/>
    <w:rsid w:val="00872A9C"/>
    <w:rsid w:val="008733F4"/>
    <w:rsid w:val="00874C8F"/>
    <w:rsid w:val="008764BF"/>
    <w:rsid w:val="00884D31"/>
    <w:rsid w:val="0088522A"/>
    <w:rsid w:val="00885870"/>
    <w:rsid w:val="00887D37"/>
    <w:rsid w:val="00891DCB"/>
    <w:rsid w:val="00892BF0"/>
    <w:rsid w:val="00894056"/>
    <w:rsid w:val="0089587D"/>
    <w:rsid w:val="008A4DB8"/>
    <w:rsid w:val="008A7C0B"/>
    <w:rsid w:val="008B1E62"/>
    <w:rsid w:val="008B5E74"/>
    <w:rsid w:val="008C017A"/>
    <w:rsid w:val="008C2489"/>
    <w:rsid w:val="008C2C53"/>
    <w:rsid w:val="008C6EC1"/>
    <w:rsid w:val="008D3EBD"/>
    <w:rsid w:val="008D6696"/>
    <w:rsid w:val="008E2BFD"/>
    <w:rsid w:val="008E53E8"/>
    <w:rsid w:val="008E7908"/>
    <w:rsid w:val="008E7F0B"/>
    <w:rsid w:val="008F3EDB"/>
    <w:rsid w:val="00902113"/>
    <w:rsid w:val="009062D2"/>
    <w:rsid w:val="00907F74"/>
    <w:rsid w:val="00911517"/>
    <w:rsid w:val="0091762B"/>
    <w:rsid w:val="0094024E"/>
    <w:rsid w:val="00940E52"/>
    <w:rsid w:val="00941C29"/>
    <w:rsid w:val="00947A43"/>
    <w:rsid w:val="009523FB"/>
    <w:rsid w:val="00952B37"/>
    <w:rsid w:val="00955588"/>
    <w:rsid w:val="00957A97"/>
    <w:rsid w:val="00957D99"/>
    <w:rsid w:val="00960149"/>
    <w:rsid w:val="00963AF5"/>
    <w:rsid w:val="0096420F"/>
    <w:rsid w:val="00967552"/>
    <w:rsid w:val="00971480"/>
    <w:rsid w:val="00972663"/>
    <w:rsid w:val="009735F8"/>
    <w:rsid w:val="00975795"/>
    <w:rsid w:val="0098597F"/>
    <w:rsid w:val="00985F13"/>
    <w:rsid w:val="009900A5"/>
    <w:rsid w:val="00991C28"/>
    <w:rsid w:val="00994BC6"/>
    <w:rsid w:val="009A1FFE"/>
    <w:rsid w:val="009B2FDF"/>
    <w:rsid w:val="009C1600"/>
    <w:rsid w:val="009C3189"/>
    <w:rsid w:val="009C38AF"/>
    <w:rsid w:val="009C397C"/>
    <w:rsid w:val="009C77A7"/>
    <w:rsid w:val="009D10B5"/>
    <w:rsid w:val="009D1FE0"/>
    <w:rsid w:val="009E0746"/>
    <w:rsid w:val="009E0F51"/>
    <w:rsid w:val="009E190F"/>
    <w:rsid w:val="009E2C0F"/>
    <w:rsid w:val="009E2D9C"/>
    <w:rsid w:val="009E6014"/>
    <w:rsid w:val="009E6D06"/>
    <w:rsid w:val="00A0015F"/>
    <w:rsid w:val="00A00FA7"/>
    <w:rsid w:val="00A14604"/>
    <w:rsid w:val="00A15409"/>
    <w:rsid w:val="00A178A5"/>
    <w:rsid w:val="00A21450"/>
    <w:rsid w:val="00A25F63"/>
    <w:rsid w:val="00A269BC"/>
    <w:rsid w:val="00A321C3"/>
    <w:rsid w:val="00A368F2"/>
    <w:rsid w:val="00A444AF"/>
    <w:rsid w:val="00A4450A"/>
    <w:rsid w:val="00A46800"/>
    <w:rsid w:val="00A46BD5"/>
    <w:rsid w:val="00A56308"/>
    <w:rsid w:val="00A56AC6"/>
    <w:rsid w:val="00A6060B"/>
    <w:rsid w:val="00A645CF"/>
    <w:rsid w:val="00A73BAF"/>
    <w:rsid w:val="00A962FD"/>
    <w:rsid w:val="00AA21FF"/>
    <w:rsid w:val="00AA5884"/>
    <w:rsid w:val="00AB057D"/>
    <w:rsid w:val="00AB197D"/>
    <w:rsid w:val="00AB1E63"/>
    <w:rsid w:val="00AB245D"/>
    <w:rsid w:val="00AB3D37"/>
    <w:rsid w:val="00AB4496"/>
    <w:rsid w:val="00AB6E3F"/>
    <w:rsid w:val="00AC2007"/>
    <w:rsid w:val="00AC21B6"/>
    <w:rsid w:val="00AC2AEF"/>
    <w:rsid w:val="00AC58E3"/>
    <w:rsid w:val="00AD19BE"/>
    <w:rsid w:val="00AD2EB7"/>
    <w:rsid w:val="00AD604F"/>
    <w:rsid w:val="00AD7627"/>
    <w:rsid w:val="00AE0BB7"/>
    <w:rsid w:val="00AE6B39"/>
    <w:rsid w:val="00AF13A8"/>
    <w:rsid w:val="00AF1A0A"/>
    <w:rsid w:val="00AF33DF"/>
    <w:rsid w:val="00B008BB"/>
    <w:rsid w:val="00B0299A"/>
    <w:rsid w:val="00B02D7B"/>
    <w:rsid w:val="00B033A8"/>
    <w:rsid w:val="00B03978"/>
    <w:rsid w:val="00B11CF2"/>
    <w:rsid w:val="00B12C58"/>
    <w:rsid w:val="00B1344C"/>
    <w:rsid w:val="00B16C13"/>
    <w:rsid w:val="00B16FB3"/>
    <w:rsid w:val="00B21B03"/>
    <w:rsid w:val="00B227A4"/>
    <w:rsid w:val="00B23B75"/>
    <w:rsid w:val="00B3083D"/>
    <w:rsid w:val="00B30D31"/>
    <w:rsid w:val="00B33990"/>
    <w:rsid w:val="00B35029"/>
    <w:rsid w:val="00B3660B"/>
    <w:rsid w:val="00B41F87"/>
    <w:rsid w:val="00B43CAF"/>
    <w:rsid w:val="00B4504D"/>
    <w:rsid w:val="00B50CB2"/>
    <w:rsid w:val="00B50E26"/>
    <w:rsid w:val="00B51813"/>
    <w:rsid w:val="00B5694B"/>
    <w:rsid w:val="00B57811"/>
    <w:rsid w:val="00B61CB8"/>
    <w:rsid w:val="00B62642"/>
    <w:rsid w:val="00B63D5C"/>
    <w:rsid w:val="00B65379"/>
    <w:rsid w:val="00B6570C"/>
    <w:rsid w:val="00B65D2F"/>
    <w:rsid w:val="00B66939"/>
    <w:rsid w:val="00B7070C"/>
    <w:rsid w:val="00B7133C"/>
    <w:rsid w:val="00B7495C"/>
    <w:rsid w:val="00B76158"/>
    <w:rsid w:val="00B76E79"/>
    <w:rsid w:val="00B80E29"/>
    <w:rsid w:val="00B8320A"/>
    <w:rsid w:val="00B83284"/>
    <w:rsid w:val="00B9056F"/>
    <w:rsid w:val="00B9353E"/>
    <w:rsid w:val="00B93C7E"/>
    <w:rsid w:val="00BA17EA"/>
    <w:rsid w:val="00BA7C3F"/>
    <w:rsid w:val="00BB0B89"/>
    <w:rsid w:val="00BB34E5"/>
    <w:rsid w:val="00BB692C"/>
    <w:rsid w:val="00BC504A"/>
    <w:rsid w:val="00BC54C6"/>
    <w:rsid w:val="00BC5791"/>
    <w:rsid w:val="00BD6674"/>
    <w:rsid w:val="00BD6A46"/>
    <w:rsid w:val="00BE0C16"/>
    <w:rsid w:val="00BE1E5F"/>
    <w:rsid w:val="00BE4843"/>
    <w:rsid w:val="00BF0306"/>
    <w:rsid w:val="00BF3B14"/>
    <w:rsid w:val="00BF4367"/>
    <w:rsid w:val="00BF5A75"/>
    <w:rsid w:val="00BF704D"/>
    <w:rsid w:val="00BF7855"/>
    <w:rsid w:val="00C00429"/>
    <w:rsid w:val="00C021A9"/>
    <w:rsid w:val="00C02460"/>
    <w:rsid w:val="00C02C47"/>
    <w:rsid w:val="00C13241"/>
    <w:rsid w:val="00C15013"/>
    <w:rsid w:val="00C215E7"/>
    <w:rsid w:val="00C235EC"/>
    <w:rsid w:val="00C32EE5"/>
    <w:rsid w:val="00C335B5"/>
    <w:rsid w:val="00C35B3D"/>
    <w:rsid w:val="00C459A1"/>
    <w:rsid w:val="00C530EF"/>
    <w:rsid w:val="00C55084"/>
    <w:rsid w:val="00C56478"/>
    <w:rsid w:val="00C567DC"/>
    <w:rsid w:val="00C607F8"/>
    <w:rsid w:val="00C60AC3"/>
    <w:rsid w:val="00C611D1"/>
    <w:rsid w:val="00C631CF"/>
    <w:rsid w:val="00C720CD"/>
    <w:rsid w:val="00C72987"/>
    <w:rsid w:val="00C769E0"/>
    <w:rsid w:val="00C80273"/>
    <w:rsid w:val="00C82ED5"/>
    <w:rsid w:val="00C85C87"/>
    <w:rsid w:val="00C8664E"/>
    <w:rsid w:val="00C90000"/>
    <w:rsid w:val="00C945E1"/>
    <w:rsid w:val="00C96026"/>
    <w:rsid w:val="00CA1821"/>
    <w:rsid w:val="00CA5085"/>
    <w:rsid w:val="00CA63A0"/>
    <w:rsid w:val="00CA76CF"/>
    <w:rsid w:val="00CA7A05"/>
    <w:rsid w:val="00CB294D"/>
    <w:rsid w:val="00CB5358"/>
    <w:rsid w:val="00CB5F0C"/>
    <w:rsid w:val="00CB7C2C"/>
    <w:rsid w:val="00CC56A8"/>
    <w:rsid w:val="00CC7A33"/>
    <w:rsid w:val="00CD07D7"/>
    <w:rsid w:val="00CD4CA1"/>
    <w:rsid w:val="00CD6ED9"/>
    <w:rsid w:val="00CD7705"/>
    <w:rsid w:val="00CE0368"/>
    <w:rsid w:val="00CE258F"/>
    <w:rsid w:val="00CE27DD"/>
    <w:rsid w:val="00CE758C"/>
    <w:rsid w:val="00CF658A"/>
    <w:rsid w:val="00D078A0"/>
    <w:rsid w:val="00D17952"/>
    <w:rsid w:val="00D226EE"/>
    <w:rsid w:val="00D265CD"/>
    <w:rsid w:val="00D34089"/>
    <w:rsid w:val="00D35998"/>
    <w:rsid w:val="00D360D5"/>
    <w:rsid w:val="00D37A5F"/>
    <w:rsid w:val="00D41444"/>
    <w:rsid w:val="00D42417"/>
    <w:rsid w:val="00D537B7"/>
    <w:rsid w:val="00D55C9D"/>
    <w:rsid w:val="00D5650D"/>
    <w:rsid w:val="00D57163"/>
    <w:rsid w:val="00D604F8"/>
    <w:rsid w:val="00D60D95"/>
    <w:rsid w:val="00D72099"/>
    <w:rsid w:val="00D72271"/>
    <w:rsid w:val="00D723D7"/>
    <w:rsid w:val="00D777E5"/>
    <w:rsid w:val="00D80AB8"/>
    <w:rsid w:val="00D811A6"/>
    <w:rsid w:val="00D81CC1"/>
    <w:rsid w:val="00D81E43"/>
    <w:rsid w:val="00D82648"/>
    <w:rsid w:val="00D82DD1"/>
    <w:rsid w:val="00D84864"/>
    <w:rsid w:val="00D86B51"/>
    <w:rsid w:val="00D9225B"/>
    <w:rsid w:val="00D975D2"/>
    <w:rsid w:val="00D97FF5"/>
    <w:rsid w:val="00DA28D9"/>
    <w:rsid w:val="00DA67EB"/>
    <w:rsid w:val="00DB0EC5"/>
    <w:rsid w:val="00DB250F"/>
    <w:rsid w:val="00DC0E21"/>
    <w:rsid w:val="00DC288D"/>
    <w:rsid w:val="00DC332A"/>
    <w:rsid w:val="00DD2A35"/>
    <w:rsid w:val="00DD4592"/>
    <w:rsid w:val="00DD4CC0"/>
    <w:rsid w:val="00DD4FCF"/>
    <w:rsid w:val="00DD54B6"/>
    <w:rsid w:val="00DD6B6A"/>
    <w:rsid w:val="00DF2060"/>
    <w:rsid w:val="00DF41A4"/>
    <w:rsid w:val="00DF5B4E"/>
    <w:rsid w:val="00DF5FD6"/>
    <w:rsid w:val="00DF73F7"/>
    <w:rsid w:val="00DF762D"/>
    <w:rsid w:val="00E01E93"/>
    <w:rsid w:val="00E03753"/>
    <w:rsid w:val="00E06016"/>
    <w:rsid w:val="00E06688"/>
    <w:rsid w:val="00E07CE6"/>
    <w:rsid w:val="00E16B12"/>
    <w:rsid w:val="00E20D81"/>
    <w:rsid w:val="00E23DAA"/>
    <w:rsid w:val="00E243F7"/>
    <w:rsid w:val="00E24CBE"/>
    <w:rsid w:val="00E30C4C"/>
    <w:rsid w:val="00E3146C"/>
    <w:rsid w:val="00E33FDC"/>
    <w:rsid w:val="00E34765"/>
    <w:rsid w:val="00E35EEC"/>
    <w:rsid w:val="00E36AED"/>
    <w:rsid w:val="00E41738"/>
    <w:rsid w:val="00E47663"/>
    <w:rsid w:val="00E47FE5"/>
    <w:rsid w:val="00E55226"/>
    <w:rsid w:val="00E56AC6"/>
    <w:rsid w:val="00E57356"/>
    <w:rsid w:val="00E57363"/>
    <w:rsid w:val="00E57F23"/>
    <w:rsid w:val="00E6443C"/>
    <w:rsid w:val="00E64FBF"/>
    <w:rsid w:val="00E733F9"/>
    <w:rsid w:val="00E81ECB"/>
    <w:rsid w:val="00E81F0C"/>
    <w:rsid w:val="00E847E3"/>
    <w:rsid w:val="00E877BA"/>
    <w:rsid w:val="00E90B47"/>
    <w:rsid w:val="00E91234"/>
    <w:rsid w:val="00E93514"/>
    <w:rsid w:val="00E93D0A"/>
    <w:rsid w:val="00E944AC"/>
    <w:rsid w:val="00E952E8"/>
    <w:rsid w:val="00E95801"/>
    <w:rsid w:val="00EA0ADC"/>
    <w:rsid w:val="00EA14AE"/>
    <w:rsid w:val="00EA66A6"/>
    <w:rsid w:val="00EA6F1B"/>
    <w:rsid w:val="00EB3862"/>
    <w:rsid w:val="00EC0DB3"/>
    <w:rsid w:val="00EC2710"/>
    <w:rsid w:val="00EC31D5"/>
    <w:rsid w:val="00EC4776"/>
    <w:rsid w:val="00EC48AC"/>
    <w:rsid w:val="00ED57E5"/>
    <w:rsid w:val="00ED5B6E"/>
    <w:rsid w:val="00ED5E48"/>
    <w:rsid w:val="00ED5F15"/>
    <w:rsid w:val="00EE3856"/>
    <w:rsid w:val="00EE585F"/>
    <w:rsid w:val="00EF22A2"/>
    <w:rsid w:val="00EF2AE2"/>
    <w:rsid w:val="00EF543A"/>
    <w:rsid w:val="00EF5AA9"/>
    <w:rsid w:val="00EF6702"/>
    <w:rsid w:val="00EF6833"/>
    <w:rsid w:val="00EF6DF1"/>
    <w:rsid w:val="00F0089F"/>
    <w:rsid w:val="00F04121"/>
    <w:rsid w:val="00F05DA9"/>
    <w:rsid w:val="00F07627"/>
    <w:rsid w:val="00F128A6"/>
    <w:rsid w:val="00F144CD"/>
    <w:rsid w:val="00F14E99"/>
    <w:rsid w:val="00F2017D"/>
    <w:rsid w:val="00F22173"/>
    <w:rsid w:val="00F25079"/>
    <w:rsid w:val="00F358C9"/>
    <w:rsid w:val="00F3696A"/>
    <w:rsid w:val="00F430FB"/>
    <w:rsid w:val="00F46C38"/>
    <w:rsid w:val="00F537C6"/>
    <w:rsid w:val="00F60FC8"/>
    <w:rsid w:val="00F621AF"/>
    <w:rsid w:val="00F74B88"/>
    <w:rsid w:val="00F804A4"/>
    <w:rsid w:val="00F87529"/>
    <w:rsid w:val="00F90A8F"/>
    <w:rsid w:val="00F90B2E"/>
    <w:rsid w:val="00F9331E"/>
    <w:rsid w:val="00F94C51"/>
    <w:rsid w:val="00F9717E"/>
    <w:rsid w:val="00FA33A9"/>
    <w:rsid w:val="00FA4A4D"/>
    <w:rsid w:val="00FA4B74"/>
    <w:rsid w:val="00FB3DFB"/>
    <w:rsid w:val="00FB57A1"/>
    <w:rsid w:val="00FB6BC2"/>
    <w:rsid w:val="00FC402E"/>
    <w:rsid w:val="00FC6EBE"/>
    <w:rsid w:val="00FD630F"/>
    <w:rsid w:val="00FD73A7"/>
    <w:rsid w:val="00FD75B6"/>
    <w:rsid w:val="00FD7F0A"/>
    <w:rsid w:val="00FE11D8"/>
    <w:rsid w:val="00FE2062"/>
    <w:rsid w:val="00FE3F83"/>
    <w:rsid w:val="00FE4E1F"/>
    <w:rsid w:val="00FF38DC"/>
    <w:rsid w:val="00FF4031"/>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72AE8-46DA-40A3-9C1C-692980CA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6E"/>
  </w:style>
  <w:style w:type="paragraph" w:styleId="Heading1">
    <w:name w:val="heading 1"/>
    <w:basedOn w:val="Normal"/>
    <w:next w:val="Normal"/>
    <w:link w:val="Heading1Char"/>
    <w:autoRedefine/>
    <w:qFormat/>
    <w:rsid w:val="005922A6"/>
    <w:pPr>
      <w:keepNext/>
      <w:numPr>
        <w:numId w:val="1"/>
      </w:numPr>
      <w:spacing w:before="240" w:after="120" w:line="240" w:lineRule="auto"/>
      <w:jc w:val="both"/>
      <w:outlineLvl w:val="0"/>
    </w:pPr>
    <w:rPr>
      <w:rFonts w:ascii="Times New Roman" w:eastAsia="Times New Roman" w:hAnsi="Times New Roman" w:cs="Times New Roman"/>
      <w:b/>
      <w:smallCaps/>
      <w:kern w:val="28"/>
      <w:sz w:val="28"/>
      <w:szCs w:val="28"/>
      <w:lang w:val="en-GB" w:eastAsia="en-GB"/>
    </w:rPr>
  </w:style>
  <w:style w:type="paragraph" w:styleId="Heading2">
    <w:name w:val="heading 2"/>
    <w:basedOn w:val="Normal"/>
    <w:next w:val="Normal"/>
    <w:link w:val="Heading2Char"/>
    <w:autoRedefine/>
    <w:qFormat/>
    <w:rsid w:val="00510BDD"/>
    <w:pPr>
      <w:keepNext/>
      <w:tabs>
        <w:tab w:val="left" w:pos="337"/>
      </w:tabs>
      <w:spacing w:after="120" w:line="240" w:lineRule="auto"/>
      <w:ind w:left="337" w:hanging="180"/>
      <w:jc w:val="both"/>
      <w:outlineLvl w:val="1"/>
    </w:pPr>
    <w:rPr>
      <w:rFonts w:ascii="Times New Roman" w:eastAsia="Times New Roman" w:hAnsi="Times New Roman" w:cs="Times New Roman"/>
      <w:b/>
      <w:bCs/>
      <w:lang w:val="en-GB" w:eastAsia="en-US"/>
    </w:rPr>
  </w:style>
  <w:style w:type="paragraph" w:styleId="Heading3">
    <w:name w:val="heading 3"/>
    <w:basedOn w:val="Normal"/>
    <w:next w:val="Normal"/>
    <w:link w:val="Heading3Char"/>
    <w:autoRedefine/>
    <w:qFormat/>
    <w:rsid w:val="00F804A4"/>
    <w:pPr>
      <w:keepNext/>
      <w:spacing w:before="120" w:after="120" w:line="240" w:lineRule="auto"/>
      <w:ind w:left="337"/>
      <w:jc w:val="both"/>
      <w:outlineLvl w:val="2"/>
    </w:pPr>
    <w:rPr>
      <w:rFonts w:ascii="Times New Roman" w:eastAsia="Times New Roman" w:hAnsi="Times New Roman" w:cs="Times New Roman"/>
      <w:b/>
      <w:lang w:val="en-GB" w:eastAsia="en-GB"/>
    </w:rPr>
  </w:style>
  <w:style w:type="paragraph" w:styleId="Heading4">
    <w:name w:val="heading 4"/>
    <w:basedOn w:val="Normal"/>
    <w:next w:val="Normal"/>
    <w:link w:val="Heading4Char"/>
    <w:qFormat/>
    <w:rsid w:val="005922A6"/>
    <w:pPr>
      <w:keepNext/>
      <w:numPr>
        <w:ilvl w:val="3"/>
        <w:numId w:val="1"/>
      </w:numPr>
      <w:spacing w:after="12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480"/>
    <w:pPr>
      <w:ind w:left="720"/>
      <w:contextualSpacing/>
    </w:pPr>
  </w:style>
  <w:style w:type="paragraph" w:styleId="Header">
    <w:name w:val="header"/>
    <w:basedOn w:val="Normal"/>
    <w:link w:val="HeaderChar"/>
    <w:uiPriority w:val="99"/>
    <w:unhideWhenUsed/>
    <w:rsid w:val="00EF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A9"/>
  </w:style>
  <w:style w:type="paragraph" w:styleId="Footer">
    <w:name w:val="footer"/>
    <w:basedOn w:val="Normal"/>
    <w:link w:val="FooterChar"/>
    <w:uiPriority w:val="99"/>
    <w:unhideWhenUsed/>
    <w:rsid w:val="00EF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A9"/>
  </w:style>
  <w:style w:type="table" w:styleId="TableGrid">
    <w:name w:val="Table Grid"/>
    <w:basedOn w:val="TableNormal"/>
    <w:uiPriority w:val="59"/>
    <w:rsid w:val="003E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9D8"/>
    <w:pPr>
      <w:spacing w:after="0" w:line="240" w:lineRule="auto"/>
    </w:pPr>
  </w:style>
  <w:style w:type="paragraph" w:styleId="BalloonText">
    <w:name w:val="Balloon Text"/>
    <w:basedOn w:val="Normal"/>
    <w:link w:val="BalloonTextChar"/>
    <w:uiPriority w:val="99"/>
    <w:semiHidden/>
    <w:unhideWhenUsed/>
    <w:rsid w:val="00450AB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50AB2"/>
    <w:rPr>
      <w:rFonts w:ascii="Arial" w:hAnsi="Arial" w:cs="Arial"/>
      <w:sz w:val="16"/>
      <w:szCs w:val="16"/>
    </w:rPr>
  </w:style>
  <w:style w:type="character" w:styleId="CommentReference">
    <w:name w:val="annotation reference"/>
    <w:uiPriority w:val="99"/>
    <w:unhideWhenUsed/>
    <w:rsid w:val="001F27FC"/>
    <w:rPr>
      <w:sz w:val="16"/>
      <w:szCs w:val="16"/>
    </w:rPr>
  </w:style>
  <w:style w:type="paragraph" w:styleId="CommentText">
    <w:name w:val="annotation text"/>
    <w:basedOn w:val="Normal"/>
    <w:link w:val="CommentTextChar"/>
    <w:semiHidden/>
    <w:unhideWhenUsed/>
    <w:rsid w:val="001F27FC"/>
    <w:rPr>
      <w:rFonts w:ascii="Calibri" w:eastAsia="Calibri" w:hAnsi="Calibri" w:cs="Times New Roman"/>
      <w:sz w:val="20"/>
      <w:szCs w:val="20"/>
      <w:lang w:val="sk-SK" w:eastAsia="en-US"/>
    </w:rPr>
  </w:style>
  <w:style w:type="character" w:customStyle="1" w:styleId="CommentTextChar">
    <w:name w:val="Comment Text Char"/>
    <w:basedOn w:val="DefaultParagraphFont"/>
    <w:link w:val="CommentText"/>
    <w:semiHidden/>
    <w:rsid w:val="001F27FC"/>
    <w:rPr>
      <w:rFonts w:ascii="Calibri" w:eastAsia="Calibri" w:hAnsi="Calibri" w:cs="Times New Roman"/>
      <w:sz w:val="20"/>
      <w:szCs w:val="20"/>
      <w:lang w:val="sk-SK" w:eastAsia="en-US"/>
    </w:rPr>
  </w:style>
  <w:style w:type="paragraph" w:styleId="NormalWeb">
    <w:name w:val="Normal (Web)"/>
    <w:basedOn w:val="Normal"/>
    <w:uiPriority w:val="99"/>
    <w:unhideWhenUsed/>
    <w:rsid w:val="0083384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rsid w:val="005922A6"/>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510BDD"/>
    <w:rPr>
      <w:rFonts w:ascii="Times New Roman" w:eastAsia="Times New Roman" w:hAnsi="Times New Roman" w:cs="Times New Roman"/>
      <w:b/>
      <w:bCs/>
      <w:lang w:val="en-GB" w:eastAsia="en-US"/>
    </w:rPr>
  </w:style>
  <w:style w:type="character" w:customStyle="1" w:styleId="Heading3Char">
    <w:name w:val="Heading 3 Char"/>
    <w:basedOn w:val="DefaultParagraphFont"/>
    <w:link w:val="Heading3"/>
    <w:rsid w:val="00F804A4"/>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5922A6"/>
    <w:rPr>
      <w:rFonts w:ascii="Arial" w:eastAsia="Times New Roman" w:hAnsi="Arial" w:cs="Times New Roman"/>
      <w:sz w:val="20"/>
      <w:szCs w:val="20"/>
      <w:lang w:val="en-GB" w:eastAsia="en-GB"/>
    </w:rPr>
  </w:style>
  <w:style w:type="paragraph" w:customStyle="1" w:styleId="ListDash1">
    <w:name w:val="List Dash 1"/>
    <w:basedOn w:val="Normal"/>
    <w:rsid w:val="00BE0C16"/>
    <w:pPr>
      <w:numPr>
        <w:numId w:val="2"/>
      </w:numPr>
      <w:spacing w:after="240" w:line="240" w:lineRule="auto"/>
      <w:jc w:val="both"/>
    </w:pPr>
    <w:rPr>
      <w:rFonts w:ascii="Times New Roman" w:eastAsia="Times New Roman" w:hAnsi="Times New Roman" w:cs="Times New Roman"/>
      <w:sz w:val="24"/>
      <w:szCs w:val="20"/>
      <w:lang w:val="en-GB" w:eastAsia="en-US"/>
    </w:rPr>
  </w:style>
  <w:style w:type="character" w:customStyle="1" w:styleId="ListParagraphChar">
    <w:name w:val="List Paragraph Char"/>
    <w:link w:val="ListParagraph"/>
    <w:uiPriority w:val="34"/>
    <w:rsid w:val="00BA17EA"/>
  </w:style>
  <w:style w:type="paragraph" w:styleId="CommentSubject">
    <w:name w:val="annotation subject"/>
    <w:basedOn w:val="CommentText"/>
    <w:next w:val="CommentText"/>
    <w:link w:val="CommentSubjectChar"/>
    <w:uiPriority w:val="99"/>
    <w:semiHidden/>
    <w:unhideWhenUsed/>
    <w:rsid w:val="000C64A2"/>
    <w:pPr>
      <w:spacing w:line="240" w:lineRule="auto"/>
    </w:pPr>
    <w:rPr>
      <w:rFonts w:asciiTheme="minorHAnsi" w:eastAsiaTheme="minorHAnsi" w:hAnsiTheme="minorHAnsi" w:cstheme="minorBidi"/>
      <w:b/>
      <w:bCs/>
      <w:lang w:val="sr-Latn-CS" w:eastAsia="sr-Latn-CS"/>
    </w:rPr>
  </w:style>
  <w:style w:type="character" w:customStyle="1" w:styleId="CommentSubjectChar">
    <w:name w:val="Comment Subject Char"/>
    <w:basedOn w:val="CommentTextChar"/>
    <w:link w:val="CommentSubject"/>
    <w:uiPriority w:val="99"/>
    <w:semiHidden/>
    <w:rsid w:val="000C64A2"/>
    <w:rPr>
      <w:rFonts w:ascii="Calibri" w:eastAsia="Calibri" w:hAnsi="Calibri" w:cs="Times New Roman"/>
      <w:b/>
      <w:bCs/>
      <w:sz w:val="20"/>
      <w:szCs w:val="20"/>
      <w:lang w:val="sk-SK" w:eastAsia="en-US"/>
    </w:rPr>
  </w:style>
  <w:style w:type="character" w:styleId="Strong">
    <w:name w:val="Strong"/>
    <w:qFormat/>
    <w:rsid w:val="00CF658A"/>
    <w:rPr>
      <w:b/>
    </w:rPr>
  </w:style>
  <w:style w:type="paragraph" w:styleId="ListBullet">
    <w:name w:val="List Bullet"/>
    <w:basedOn w:val="Normal"/>
    <w:rsid w:val="00785F8F"/>
    <w:pPr>
      <w:numPr>
        <w:numId w:val="4"/>
      </w:numPr>
      <w:spacing w:after="240" w:line="240" w:lineRule="auto"/>
      <w:jc w:val="both"/>
    </w:pPr>
    <w:rPr>
      <w:rFonts w:ascii="Times New Roman" w:eastAsia="Times New Roman" w:hAnsi="Times New Roman" w:cs="Times New Roman"/>
      <w:sz w:val="24"/>
      <w:szCs w:val="20"/>
      <w:lang w:val="en-GB" w:eastAsia="en-US"/>
    </w:rPr>
  </w:style>
  <w:style w:type="paragraph" w:customStyle="1" w:styleId="Style3">
    <w:name w:val="Style 3"/>
    <w:basedOn w:val="Normal"/>
    <w:rsid w:val="00AC21B6"/>
    <w:pPr>
      <w:widowControl w:val="0"/>
      <w:spacing w:after="0" w:line="240" w:lineRule="auto"/>
      <w:jc w:val="both"/>
    </w:pPr>
    <w:rPr>
      <w:rFonts w:ascii="Times New Roman" w:eastAsia="Times New Roman" w:hAnsi="Times New Roman" w:cs="Times New Roman"/>
      <w:noProof/>
      <w:color w:val="000000"/>
      <w:sz w:val="20"/>
      <w:szCs w:val="20"/>
      <w:lang w:val="it-IT" w:eastAsia="it-IT"/>
    </w:rPr>
  </w:style>
  <w:style w:type="paragraph" w:customStyle="1" w:styleId="Style8">
    <w:name w:val="Style 8"/>
    <w:basedOn w:val="Normal"/>
    <w:rsid w:val="00AC21B6"/>
    <w:pPr>
      <w:widowControl w:val="0"/>
      <w:spacing w:before="108" w:after="0" w:line="240" w:lineRule="auto"/>
      <w:ind w:left="360" w:hanging="360"/>
      <w:jc w:val="both"/>
    </w:pPr>
    <w:rPr>
      <w:rFonts w:ascii="Times New Roman" w:eastAsia="Times New Roman" w:hAnsi="Times New Roman" w:cs="Times New Roman"/>
      <w:noProof/>
      <w:color w:val="000000"/>
      <w:sz w:val="20"/>
      <w:szCs w:val="20"/>
      <w:lang w:val="it-IT" w:eastAsia="it-I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AD,f"/>
    <w:basedOn w:val="Normal"/>
    <w:link w:val="FootnoteTextChar2"/>
    <w:qFormat/>
    <w:rsid w:val="00805592"/>
    <w:pPr>
      <w:spacing w:after="120" w:line="240" w:lineRule="auto"/>
      <w:ind w:left="357" w:hanging="357"/>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uiPriority w:val="99"/>
    <w:semiHidden/>
    <w:rsid w:val="00805592"/>
    <w:rPr>
      <w:sz w:val="20"/>
      <w:szCs w:val="20"/>
    </w:rPr>
  </w:style>
  <w:style w:type="character" w:styleId="FootnoteReference">
    <w:name w:val="footnote reference"/>
    <w:aliases w:val="BVI fnr,ftref,16 Point,Superscript 6 Point,nota pié di pagina,Footnote symbol,Footnote reference number,Times 10 Point,Exposant 3 Point,EN Footnote Reference,note TESI,Footnote Reference Char Char Char, Exposant 3 Point"/>
    <w:rsid w:val="00805592"/>
    <w:rPr>
      <w:rFonts w:ascii="TimesNewRomanPS" w:hAnsi="TimesNewRomanPS"/>
      <w:position w:val="6"/>
      <w:sz w:val="16"/>
    </w:rPr>
  </w:style>
  <w:style w:type="character" w:customStyle="1" w:styleId="FootnoteTextChar2">
    <w:name w:val="Footnote Text Char2"/>
    <w:aliases w:val="Footnote Text Char Char Char Char,Footnote Text Char Char Char1,Footnote Text Char1 Char,Footnote Text Char Char1 Char,Footnote Text Char1 Char Char Char,Footnote Text Char Char1 Char Char Char,Fußnote Char,fn Char,AD Char,f Char"/>
    <w:link w:val="FootnoteText"/>
    <w:locked/>
    <w:rsid w:val="00805592"/>
    <w:rPr>
      <w:rFonts w:ascii="Arial" w:eastAsia="Times New Roman" w:hAnsi="Arial" w:cs="Times New Roman"/>
      <w:sz w:val="20"/>
      <w:szCs w:val="20"/>
      <w:lang w:val="en-GB" w:eastAsia="en-GB"/>
    </w:rPr>
  </w:style>
  <w:style w:type="character" w:styleId="Hyperlink">
    <w:name w:val="Hyperlink"/>
    <w:rsid w:val="001D1BFA"/>
    <w:rPr>
      <w:color w:val="0000FF"/>
      <w:u w:val="single"/>
    </w:rPr>
  </w:style>
  <w:style w:type="character" w:styleId="FollowedHyperlink">
    <w:name w:val="FollowedHyperlink"/>
    <w:basedOn w:val="DefaultParagraphFont"/>
    <w:uiPriority w:val="99"/>
    <w:semiHidden/>
    <w:unhideWhenUsed/>
    <w:rsid w:val="00BE4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580">
      <w:bodyDiv w:val="1"/>
      <w:marLeft w:val="0"/>
      <w:marRight w:val="0"/>
      <w:marTop w:val="0"/>
      <w:marBottom w:val="0"/>
      <w:divBdr>
        <w:top w:val="none" w:sz="0" w:space="0" w:color="auto"/>
        <w:left w:val="none" w:sz="0" w:space="0" w:color="auto"/>
        <w:bottom w:val="none" w:sz="0" w:space="0" w:color="auto"/>
        <w:right w:val="none" w:sz="0" w:space="0" w:color="auto"/>
      </w:divBdr>
    </w:div>
    <w:div w:id="855194310">
      <w:bodyDiv w:val="1"/>
      <w:marLeft w:val="0"/>
      <w:marRight w:val="0"/>
      <w:marTop w:val="0"/>
      <w:marBottom w:val="0"/>
      <w:divBdr>
        <w:top w:val="none" w:sz="0" w:space="0" w:color="auto"/>
        <w:left w:val="none" w:sz="0" w:space="0" w:color="auto"/>
        <w:bottom w:val="none" w:sz="0" w:space="0" w:color="auto"/>
        <w:right w:val="none" w:sz="0" w:space="0" w:color="auto"/>
      </w:divBdr>
    </w:div>
    <w:div w:id="904147847">
      <w:bodyDiv w:val="1"/>
      <w:marLeft w:val="0"/>
      <w:marRight w:val="0"/>
      <w:marTop w:val="0"/>
      <w:marBottom w:val="0"/>
      <w:divBdr>
        <w:top w:val="none" w:sz="0" w:space="0" w:color="auto"/>
        <w:left w:val="none" w:sz="0" w:space="0" w:color="auto"/>
        <w:bottom w:val="none" w:sz="0" w:space="0" w:color="auto"/>
        <w:right w:val="none" w:sz="0" w:space="0" w:color="auto"/>
      </w:divBdr>
    </w:div>
    <w:div w:id="1135835569">
      <w:bodyDiv w:val="1"/>
      <w:marLeft w:val="0"/>
      <w:marRight w:val="0"/>
      <w:marTop w:val="0"/>
      <w:marBottom w:val="0"/>
      <w:divBdr>
        <w:top w:val="none" w:sz="0" w:space="0" w:color="auto"/>
        <w:left w:val="none" w:sz="0" w:space="0" w:color="auto"/>
        <w:bottom w:val="none" w:sz="0" w:space="0" w:color="auto"/>
        <w:right w:val="none" w:sz="0" w:space="0" w:color="auto"/>
      </w:divBdr>
    </w:div>
    <w:div w:id="1250308071">
      <w:bodyDiv w:val="1"/>
      <w:marLeft w:val="0"/>
      <w:marRight w:val="0"/>
      <w:marTop w:val="0"/>
      <w:marBottom w:val="0"/>
      <w:divBdr>
        <w:top w:val="none" w:sz="0" w:space="0" w:color="auto"/>
        <w:left w:val="none" w:sz="0" w:space="0" w:color="auto"/>
        <w:bottom w:val="none" w:sz="0" w:space="0" w:color="auto"/>
        <w:right w:val="none" w:sz="0" w:space="0" w:color="auto"/>
      </w:divBdr>
    </w:div>
    <w:div w:id="1286430197">
      <w:bodyDiv w:val="1"/>
      <w:marLeft w:val="0"/>
      <w:marRight w:val="0"/>
      <w:marTop w:val="0"/>
      <w:marBottom w:val="0"/>
      <w:divBdr>
        <w:top w:val="none" w:sz="0" w:space="0" w:color="auto"/>
        <w:left w:val="none" w:sz="0" w:space="0" w:color="auto"/>
        <w:bottom w:val="none" w:sz="0" w:space="0" w:color="auto"/>
        <w:right w:val="none" w:sz="0" w:space="0" w:color="auto"/>
      </w:divBdr>
    </w:div>
    <w:div w:id="1684742919">
      <w:bodyDiv w:val="1"/>
      <w:marLeft w:val="0"/>
      <w:marRight w:val="0"/>
      <w:marTop w:val="0"/>
      <w:marBottom w:val="0"/>
      <w:divBdr>
        <w:top w:val="none" w:sz="0" w:space="0" w:color="auto"/>
        <w:left w:val="none" w:sz="0" w:space="0" w:color="auto"/>
        <w:bottom w:val="none" w:sz="0" w:space="0" w:color="auto"/>
        <w:right w:val="none" w:sz="0" w:space="0" w:color="auto"/>
      </w:divBdr>
    </w:div>
    <w:div w:id="1752770109">
      <w:bodyDiv w:val="1"/>
      <w:marLeft w:val="0"/>
      <w:marRight w:val="0"/>
      <w:marTop w:val="0"/>
      <w:marBottom w:val="0"/>
      <w:divBdr>
        <w:top w:val="none" w:sz="0" w:space="0" w:color="auto"/>
        <w:left w:val="none" w:sz="0" w:space="0" w:color="auto"/>
        <w:bottom w:val="none" w:sz="0" w:space="0" w:color="auto"/>
        <w:right w:val="none" w:sz="0" w:space="0" w:color="auto"/>
      </w:divBdr>
    </w:div>
    <w:div w:id="18257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cu.questions@mfin.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DA04-C365-4217-8BB8-5F9E3A45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Zivadinovic</dc:creator>
  <cp:lastModifiedBy>Nevena Uzelac</cp:lastModifiedBy>
  <cp:revision>2</cp:revision>
  <cp:lastPrinted>2019-08-13T08:28:00Z</cp:lastPrinted>
  <dcterms:created xsi:type="dcterms:W3CDTF">2021-09-14T09:38:00Z</dcterms:created>
  <dcterms:modified xsi:type="dcterms:W3CDTF">2021-09-14T09:38:00Z</dcterms:modified>
</cp:coreProperties>
</file>